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D63DE7">
      <w:pPr>
        <w:pStyle w:val="TableTitle"/>
      </w:pPr>
      <w:proofErr w:type="gramStart"/>
      <w:r>
        <w:rPr>
          <w:szCs w:val="20"/>
        </w:rPr>
        <w:t xml:space="preserve">Evidence </w:t>
      </w:r>
      <w:r w:rsidRPr="00253718">
        <w:t xml:space="preserve">Table </w:t>
      </w:r>
      <w:r w:rsidR="00D63DE7">
        <w:t>129.</w:t>
      </w:r>
      <w:proofErr w:type="gramEnd"/>
      <w:r w:rsidR="00D63DE7">
        <w:t xml:space="preserve"> </w:t>
      </w:r>
      <w:r w:rsidRPr="00253718">
        <w:t>KQ3</w:t>
      </w:r>
      <w:r w:rsidR="00D63DE7">
        <w:rPr>
          <w:rFonts w:cs="Arial"/>
        </w:rPr>
        <w:t>—</w:t>
      </w:r>
      <w:r w:rsidRPr="00E40AE6">
        <w:t>Dichotomous</w:t>
      </w:r>
      <w:r w:rsidR="00D63DE7">
        <w:rPr>
          <w:rFonts w:cs="Arial"/>
        </w:rPr>
        <w:t>—</w:t>
      </w:r>
      <w:r w:rsidRPr="00E40AE6">
        <w:t>Fasting blood glucose</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tblPr>
      <w:tblGrid>
        <w:gridCol w:w="900"/>
        <w:gridCol w:w="1080"/>
        <w:gridCol w:w="1080"/>
        <w:gridCol w:w="1800"/>
        <w:gridCol w:w="1440"/>
        <w:gridCol w:w="540"/>
        <w:gridCol w:w="720"/>
        <w:gridCol w:w="1106"/>
        <w:gridCol w:w="604"/>
        <w:gridCol w:w="720"/>
        <w:gridCol w:w="1260"/>
        <w:gridCol w:w="1584"/>
        <w:gridCol w:w="1386"/>
      </w:tblGrid>
      <w:tr w:rsidR="00980857" w:rsidRPr="00E40AE6" w:rsidTr="00DE1070">
        <w:trPr>
          <w:cantSplit/>
          <w:tblHeader/>
        </w:trPr>
        <w:tc>
          <w:tcPr>
            <w:tcW w:w="90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Author Year</w:t>
            </w:r>
          </w:p>
          <w:p w:rsidR="00980857" w:rsidRPr="00E40AE6" w:rsidRDefault="00980857" w:rsidP="00D63DE7">
            <w:pPr>
              <w:spacing w:after="0"/>
              <w:ind w:firstLine="0"/>
              <w:jc w:val="center"/>
              <w:rPr>
                <w:rFonts w:ascii="Arial" w:hAnsi="Arial" w:cs="Arial"/>
                <w:b/>
                <w:sz w:val="18"/>
                <w:szCs w:val="18"/>
              </w:rPr>
            </w:pPr>
          </w:p>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Study Design</w:t>
            </w:r>
          </w:p>
        </w:tc>
        <w:tc>
          <w:tcPr>
            <w:tcW w:w="108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Definition of outcome (if relevant)</w:t>
            </w:r>
          </w:p>
        </w:tc>
        <w:tc>
          <w:tcPr>
            <w:tcW w:w="108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CHD Risk Category</w:t>
            </w:r>
          </w:p>
        </w:tc>
        <w:tc>
          <w:tcPr>
            <w:tcW w:w="180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CVD drug</w:t>
            </w:r>
          </w:p>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(dose mg/d))</w:t>
            </w:r>
          </w:p>
        </w:tc>
        <w:tc>
          <w:tcPr>
            <w:tcW w:w="144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Group 1: Name (supplement)</w:t>
            </w:r>
          </w:p>
        </w:tc>
        <w:tc>
          <w:tcPr>
            <w:tcW w:w="54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N1</w:t>
            </w:r>
          </w:p>
        </w:tc>
        <w:tc>
          <w:tcPr>
            <w:tcW w:w="72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N1 with event</w:t>
            </w:r>
          </w:p>
        </w:tc>
        <w:tc>
          <w:tcPr>
            <w:tcW w:w="1106"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Group 2: Name</w:t>
            </w:r>
          </w:p>
        </w:tc>
        <w:tc>
          <w:tcPr>
            <w:tcW w:w="604"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N2</w:t>
            </w:r>
          </w:p>
        </w:tc>
        <w:tc>
          <w:tcPr>
            <w:tcW w:w="72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N2 with event</w:t>
            </w:r>
          </w:p>
        </w:tc>
        <w:tc>
          <w:tcPr>
            <w:tcW w:w="1260"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Estimates of Group Differences</w:t>
            </w:r>
          </w:p>
        </w:tc>
        <w:tc>
          <w:tcPr>
            <w:tcW w:w="1584"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Additional comments</w:t>
            </w:r>
          </w:p>
        </w:tc>
        <w:tc>
          <w:tcPr>
            <w:tcW w:w="1386" w:type="dxa"/>
            <w:shd w:val="pct10" w:color="D9D9D9" w:fill="D9D9D9"/>
            <w:vAlign w:val="center"/>
          </w:tcPr>
          <w:p w:rsidR="00980857" w:rsidRPr="00E40AE6" w:rsidRDefault="00980857" w:rsidP="00D63DE7">
            <w:pPr>
              <w:spacing w:after="0"/>
              <w:ind w:firstLine="0"/>
              <w:jc w:val="center"/>
              <w:rPr>
                <w:rFonts w:ascii="Arial" w:hAnsi="Arial" w:cs="Arial"/>
                <w:b/>
                <w:sz w:val="18"/>
                <w:szCs w:val="18"/>
              </w:rPr>
            </w:pPr>
            <w:r w:rsidRPr="00E40AE6">
              <w:rPr>
                <w:rFonts w:ascii="Arial" w:hAnsi="Arial" w:cs="Arial"/>
                <w:b/>
                <w:sz w:val="18"/>
                <w:szCs w:val="18"/>
              </w:rPr>
              <w:t>Overall Risk of Bias (ROB) Assessment</w:t>
            </w:r>
          </w:p>
        </w:tc>
      </w:tr>
      <w:tr w:rsidR="00980857" w:rsidRPr="00E40AE6" w:rsidTr="00DE1070">
        <w:trPr>
          <w:cantSplit/>
        </w:trPr>
        <w:tc>
          <w:tcPr>
            <w:tcW w:w="90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Napoli</w:t>
            </w:r>
            <w:r w:rsidRPr="00E40AE6">
              <w:rPr>
                <w:rFonts w:ascii="Arial" w:hAnsi="Arial" w:cs="Arial"/>
                <w:sz w:val="18"/>
                <w:szCs w:val="18"/>
              </w:rPr>
              <w:br/>
              <w:t>1998</w:t>
            </w:r>
            <w:r w:rsidRPr="00F57E4E">
              <w:rPr>
                <w:rFonts w:ascii="Arial" w:hAnsi="Arial" w:cs="Arial"/>
                <w:noProof/>
                <w:sz w:val="18"/>
                <w:szCs w:val="18"/>
                <w:vertAlign w:val="superscript"/>
              </w:rPr>
              <w:t>52</w:t>
            </w:r>
          </w:p>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Parallel</w:t>
            </w:r>
          </w:p>
        </w:tc>
        <w:tc>
          <w:tcPr>
            <w:tcW w:w="108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Data imputed- there were no differences between baseline and post treatment values.</w:t>
            </w:r>
          </w:p>
        </w:tc>
        <w:tc>
          <w:tcPr>
            <w:tcW w:w="108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Unclear</w:t>
            </w:r>
          </w:p>
          <w:p w:rsidR="00980857" w:rsidRPr="00E40AE6" w:rsidRDefault="00980857" w:rsidP="00D63DE7">
            <w:pPr>
              <w:spacing w:after="0"/>
              <w:ind w:firstLine="0"/>
              <w:jc w:val="center"/>
              <w:rPr>
                <w:rFonts w:ascii="Arial" w:hAnsi="Arial" w:cs="Arial"/>
                <w:sz w:val="18"/>
                <w:szCs w:val="18"/>
              </w:rPr>
            </w:pPr>
          </w:p>
        </w:tc>
        <w:tc>
          <w:tcPr>
            <w:tcW w:w="180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Pravastatin (20-40)</w:t>
            </w:r>
          </w:p>
        </w:tc>
        <w:tc>
          <w:tcPr>
            <w:tcW w:w="144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Vitamin E</w:t>
            </w:r>
          </w:p>
        </w:tc>
        <w:tc>
          <w:tcPr>
            <w:tcW w:w="540" w:type="dxa"/>
            <w:vAlign w:val="center"/>
          </w:tcPr>
          <w:p w:rsidR="00980857" w:rsidRPr="00E40AE6" w:rsidRDefault="00980857" w:rsidP="00D63DE7">
            <w:pPr>
              <w:spacing w:after="0"/>
              <w:ind w:firstLine="0"/>
              <w:jc w:val="center"/>
              <w:rPr>
                <w:rFonts w:ascii="Arial" w:hAnsi="Arial" w:cs="Arial"/>
                <w:sz w:val="18"/>
                <w:szCs w:val="18"/>
              </w:rPr>
            </w:pPr>
          </w:p>
        </w:tc>
        <w:tc>
          <w:tcPr>
            <w:tcW w:w="72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0</w:t>
            </w:r>
          </w:p>
        </w:tc>
        <w:tc>
          <w:tcPr>
            <w:tcW w:w="1106"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No Treatment</w:t>
            </w:r>
          </w:p>
        </w:tc>
        <w:tc>
          <w:tcPr>
            <w:tcW w:w="604" w:type="dxa"/>
            <w:vAlign w:val="center"/>
          </w:tcPr>
          <w:p w:rsidR="00980857" w:rsidRPr="00E40AE6" w:rsidRDefault="00980857" w:rsidP="00D63DE7">
            <w:pPr>
              <w:spacing w:after="0"/>
              <w:ind w:firstLine="0"/>
              <w:jc w:val="center"/>
              <w:rPr>
                <w:rFonts w:ascii="Arial" w:hAnsi="Arial" w:cs="Arial"/>
                <w:sz w:val="18"/>
                <w:szCs w:val="18"/>
              </w:rPr>
            </w:pPr>
          </w:p>
        </w:tc>
        <w:tc>
          <w:tcPr>
            <w:tcW w:w="72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0</w:t>
            </w:r>
          </w:p>
        </w:tc>
        <w:tc>
          <w:tcPr>
            <w:tcW w:w="1260" w:type="dxa"/>
            <w:vAlign w:val="center"/>
          </w:tcPr>
          <w:p w:rsidR="00980857" w:rsidRPr="00E40AE6" w:rsidRDefault="00980857" w:rsidP="00D63DE7">
            <w:pPr>
              <w:spacing w:after="0"/>
              <w:ind w:firstLine="0"/>
              <w:jc w:val="center"/>
              <w:rPr>
                <w:rFonts w:ascii="Arial" w:hAnsi="Arial" w:cs="Arial"/>
                <w:sz w:val="18"/>
                <w:szCs w:val="18"/>
              </w:rPr>
            </w:pPr>
          </w:p>
        </w:tc>
        <w:tc>
          <w:tcPr>
            <w:tcW w:w="1584"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No differences in routine laboratory tests or adverse events were registered during the study in particular there were no differences between the values recorded in each individual after treatment compared to baseline values, and no differences between the treatment groups.</w:t>
            </w:r>
          </w:p>
        </w:tc>
        <w:tc>
          <w:tcPr>
            <w:tcW w:w="1386"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Medium</w:t>
            </w:r>
          </w:p>
        </w:tc>
      </w:tr>
      <w:tr w:rsidR="00980857" w:rsidRPr="00E40AE6" w:rsidTr="00DE1070">
        <w:trPr>
          <w:cantSplit/>
        </w:trPr>
        <w:tc>
          <w:tcPr>
            <w:tcW w:w="90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Reyes</w:t>
            </w:r>
            <w:r w:rsidRPr="00E40AE6">
              <w:rPr>
                <w:rFonts w:ascii="Arial" w:hAnsi="Arial" w:cs="Arial"/>
                <w:sz w:val="18"/>
                <w:szCs w:val="18"/>
              </w:rPr>
              <w:br/>
              <w:t>1984</w:t>
            </w:r>
            <w:r w:rsidRPr="00F57E4E">
              <w:rPr>
                <w:rFonts w:ascii="Arial" w:hAnsi="Arial" w:cs="Arial"/>
                <w:noProof/>
                <w:sz w:val="18"/>
                <w:szCs w:val="18"/>
                <w:vertAlign w:val="superscript"/>
              </w:rPr>
              <w:t>59</w:t>
            </w:r>
          </w:p>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Parallel</w:t>
            </w:r>
          </w:p>
        </w:tc>
        <w:tc>
          <w:tcPr>
            <w:tcW w:w="108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NR</w:t>
            </w:r>
          </w:p>
        </w:tc>
        <w:tc>
          <w:tcPr>
            <w:tcW w:w="108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Mixed: Low and/or Moderate</w:t>
            </w:r>
          </w:p>
        </w:tc>
        <w:tc>
          <w:tcPr>
            <w:tcW w:w="180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Hydrochlorothiazide (50)</w:t>
            </w:r>
          </w:p>
        </w:tc>
        <w:tc>
          <w:tcPr>
            <w:tcW w:w="144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Magnesium</w:t>
            </w:r>
          </w:p>
        </w:tc>
        <w:tc>
          <w:tcPr>
            <w:tcW w:w="54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13</w:t>
            </w:r>
          </w:p>
        </w:tc>
        <w:tc>
          <w:tcPr>
            <w:tcW w:w="72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0</w:t>
            </w:r>
          </w:p>
        </w:tc>
        <w:tc>
          <w:tcPr>
            <w:tcW w:w="1106"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Placebo</w:t>
            </w:r>
          </w:p>
        </w:tc>
        <w:tc>
          <w:tcPr>
            <w:tcW w:w="604"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8</w:t>
            </w:r>
          </w:p>
        </w:tc>
        <w:tc>
          <w:tcPr>
            <w:tcW w:w="720"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0</w:t>
            </w:r>
          </w:p>
        </w:tc>
        <w:tc>
          <w:tcPr>
            <w:tcW w:w="1260" w:type="dxa"/>
            <w:vAlign w:val="center"/>
          </w:tcPr>
          <w:p w:rsidR="00980857" w:rsidRPr="00E40AE6" w:rsidRDefault="00980857" w:rsidP="00D63DE7">
            <w:pPr>
              <w:spacing w:after="0"/>
              <w:ind w:firstLine="0"/>
              <w:jc w:val="center"/>
              <w:rPr>
                <w:rFonts w:ascii="Arial" w:hAnsi="Arial" w:cs="Arial"/>
                <w:sz w:val="18"/>
                <w:szCs w:val="18"/>
              </w:rPr>
            </w:pPr>
          </w:p>
        </w:tc>
        <w:tc>
          <w:tcPr>
            <w:tcW w:w="1584" w:type="dxa"/>
            <w:vAlign w:val="center"/>
          </w:tcPr>
          <w:p w:rsidR="00980857" w:rsidRPr="00E40AE6" w:rsidRDefault="00980857" w:rsidP="00D63DE7">
            <w:pPr>
              <w:spacing w:after="0"/>
              <w:ind w:firstLine="0"/>
              <w:jc w:val="center"/>
              <w:rPr>
                <w:rFonts w:ascii="Arial" w:hAnsi="Arial" w:cs="Arial"/>
                <w:sz w:val="18"/>
                <w:szCs w:val="18"/>
              </w:rPr>
            </w:pPr>
          </w:p>
        </w:tc>
        <w:tc>
          <w:tcPr>
            <w:tcW w:w="1386" w:type="dxa"/>
            <w:vAlign w:val="center"/>
          </w:tcPr>
          <w:p w:rsidR="00980857" w:rsidRPr="00E40AE6" w:rsidRDefault="00980857" w:rsidP="00D63DE7">
            <w:pPr>
              <w:spacing w:after="0"/>
              <w:ind w:firstLine="0"/>
              <w:jc w:val="center"/>
              <w:rPr>
                <w:rFonts w:ascii="Arial" w:hAnsi="Arial" w:cs="Arial"/>
                <w:sz w:val="18"/>
                <w:szCs w:val="18"/>
              </w:rPr>
            </w:pPr>
            <w:r w:rsidRPr="00E40AE6">
              <w:rPr>
                <w:rFonts w:ascii="Arial" w:hAnsi="Arial" w:cs="Arial"/>
                <w:sz w:val="18"/>
                <w:szCs w:val="18"/>
              </w:rPr>
              <w:t>Medium</w:t>
            </w:r>
          </w:p>
        </w:tc>
      </w:tr>
    </w:tbl>
    <w:p w:rsidR="00671DF0" w:rsidRDefault="00671DF0" w:rsidP="00671DF0">
      <w:pPr>
        <w:rPr>
          <w:rFonts w:ascii="Arial" w:hAnsi="Arial" w:cs="Arial"/>
          <w:sz w:val="18"/>
          <w:szCs w:val="18"/>
        </w:rPr>
      </w:pPr>
    </w:p>
    <w:sectPr w:rsidR="00671DF0" w:rsidSect="00671DF0">
      <w:pgSz w:w="15840" w:h="12240" w:orient="landscape" w:code="1"/>
      <w:pgMar w:top="1440" w:right="720" w:bottom="1440"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444"/>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1DF0"/>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133</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12</cp:revision>
  <cp:lastPrinted>2012-05-23T15:20:00Z</cp:lastPrinted>
  <dcterms:created xsi:type="dcterms:W3CDTF">2012-04-24T04:30:00Z</dcterms:created>
  <dcterms:modified xsi:type="dcterms:W3CDTF">2012-05-25T15:30:00Z</dcterms:modified>
</cp:coreProperties>
</file>