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ED0CC5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>Table</w:t>
      </w:r>
      <w:r w:rsidR="00ED0CC5">
        <w:t xml:space="preserve"> 121.</w:t>
      </w:r>
      <w:proofErr w:type="gramEnd"/>
      <w:r w:rsidRPr="00E40AE6">
        <w:t xml:space="preserve"> </w:t>
      </w:r>
      <w:r w:rsidRPr="00253718">
        <w:t>KQ3</w:t>
      </w:r>
      <w:r w:rsidR="00ED0CC5">
        <w:rPr>
          <w:rFonts w:cs="Arial"/>
        </w:rPr>
        <w:t>—</w:t>
      </w:r>
      <w:r w:rsidRPr="00E40AE6">
        <w:t>Dichotomous</w:t>
      </w:r>
      <w:r w:rsidR="00ED0CC5">
        <w:rPr>
          <w:rFonts w:cs="Arial"/>
        </w:rPr>
        <w:t>—</w:t>
      </w:r>
      <w:r w:rsidRPr="00E40AE6">
        <w:t>Bleeding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260"/>
        <w:gridCol w:w="1440"/>
        <w:gridCol w:w="1350"/>
        <w:gridCol w:w="1350"/>
        <w:gridCol w:w="540"/>
        <w:gridCol w:w="720"/>
        <w:gridCol w:w="1080"/>
        <w:gridCol w:w="540"/>
        <w:gridCol w:w="720"/>
        <w:gridCol w:w="1260"/>
        <w:gridCol w:w="1440"/>
        <w:gridCol w:w="1440"/>
      </w:tblGrid>
      <w:tr w:rsidR="00980857" w:rsidRPr="00E40AE6" w:rsidTr="00ED0CC5">
        <w:trPr>
          <w:cantSplit/>
          <w:tblHeader/>
        </w:trPr>
        <w:tc>
          <w:tcPr>
            <w:tcW w:w="1080" w:type="dxa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260" w:type="dxa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1440" w:type="dxa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1350" w:type="dxa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1350" w:type="dxa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540" w:type="dxa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720" w:type="dxa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1080" w:type="dxa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540" w:type="dxa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720" w:type="dxa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1260" w:type="dxa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1440" w:type="dxa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1440" w:type="dxa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Ferraro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2009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Bleeding: Erythrocyturia Class1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Ramipril (10)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 vs. 10 at baseline were at level 1 erythrocyturia.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Ferraro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2009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Bleeding: CE (erythocyturia 2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Ramipril (10)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Ferraro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2009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Bleeding: CE (erythocyturia 3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Ramipril (10)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Lee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(3.5)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Ginseng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events occurred. No data reported.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Gardner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Nosebleed and/or unusual bleeding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 : Moderate to high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ASA (325)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Gingko baloba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Whitlock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72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Vitamin K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Sconce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61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(3.8-4.4 vs. 3.3-3.4)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Vitamin K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Macan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Incidence of hemorrhager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P: 1.000 (Crude event risk ratio)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 included is unclear: Unclear (66 enrolled, 52 randomized total)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ED0CC5" w:rsidRDefault="00ED0CC5">
      <w:pPr>
        <w:spacing w:after="0"/>
        <w:ind w:firstLine="0"/>
      </w:pPr>
      <w:r>
        <w:br w:type="page"/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260"/>
        <w:gridCol w:w="1440"/>
        <w:gridCol w:w="1350"/>
        <w:gridCol w:w="1350"/>
        <w:gridCol w:w="540"/>
        <w:gridCol w:w="720"/>
        <w:gridCol w:w="1080"/>
        <w:gridCol w:w="540"/>
        <w:gridCol w:w="720"/>
        <w:gridCol w:w="1260"/>
        <w:gridCol w:w="1440"/>
        <w:gridCol w:w="1440"/>
      </w:tblGrid>
      <w:tr w:rsidR="00ED0CC5" w:rsidRPr="00E40AE6" w:rsidTr="00ED0CC5">
        <w:trPr>
          <w:cantSplit/>
          <w:tblHeader/>
        </w:trPr>
        <w:tc>
          <w:tcPr>
            <w:tcW w:w="14220" w:type="dxa"/>
            <w:gridSpan w:val="13"/>
            <w:tcBorders>
              <w:top w:val="nil"/>
              <w:left w:val="nil"/>
              <w:right w:val="nil"/>
            </w:tcBorders>
            <w:shd w:val="clear" w:color="FFFFFF" w:themeColor="background1" w:fill="FFFFFF" w:themeFill="background1"/>
            <w:vAlign w:val="center"/>
          </w:tcPr>
          <w:p w:rsidR="00ED0CC5" w:rsidRPr="00ED0CC5" w:rsidRDefault="00ED0CC5" w:rsidP="00ED0CC5">
            <w:pPr>
              <w:pStyle w:val="TableTitle"/>
            </w:pPr>
            <w:r>
              <w:rPr>
                <w:szCs w:val="20"/>
              </w:rPr>
              <w:lastRenderedPageBreak/>
              <w:t xml:space="preserve">Evidence </w:t>
            </w:r>
            <w:r w:rsidRPr="00253718">
              <w:t>Table</w:t>
            </w:r>
            <w:r>
              <w:t xml:space="preserve"> 121.</w:t>
            </w:r>
            <w:r w:rsidRPr="00E40AE6">
              <w:t xml:space="preserve"> </w:t>
            </w:r>
            <w:r w:rsidRPr="00253718">
              <w:t>KQ3</w:t>
            </w:r>
            <w:r>
              <w:rPr>
                <w:rFonts w:cs="Arial"/>
              </w:rPr>
              <w:t>—</w:t>
            </w:r>
            <w:r w:rsidRPr="00E40AE6">
              <w:t>Dichotomous</w:t>
            </w:r>
            <w:r>
              <w:rPr>
                <w:rFonts w:cs="Arial"/>
              </w:rPr>
              <w:t>—</w:t>
            </w:r>
            <w:r w:rsidRPr="00E40AE6">
              <w:t>Bleeding</w:t>
            </w:r>
            <w:r>
              <w:t xml:space="preserve"> (continued)</w:t>
            </w:r>
          </w:p>
        </w:tc>
      </w:tr>
      <w:tr w:rsidR="00ED0CC5" w:rsidRPr="00E40AE6" w:rsidTr="00ED0CC5">
        <w:trPr>
          <w:cantSplit/>
          <w:tblHeader/>
        </w:trPr>
        <w:tc>
          <w:tcPr>
            <w:tcW w:w="1080" w:type="dxa"/>
            <w:shd w:val="pct10" w:color="D9D9D9" w:fill="D9D9D9"/>
            <w:vAlign w:val="center"/>
          </w:tcPr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260" w:type="dxa"/>
            <w:shd w:val="pct10" w:color="D9D9D9" w:fill="D9D9D9"/>
            <w:vAlign w:val="center"/>
          </w:tcPr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1440" w:type="dxa"/>
            <w:shd w:val="pct10" w:color="D9D9D9" w:fill="D9D9D9"/>
            <w:vAlign w:val="center"/>
          </w:tcPr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1350" w:type="dxa"/>
            <w:shd w:val="pct10" w:color="D9D9D9" w:fill="D9D9D9"/>
            <w:vAlign w:val="center"/>
          </w:tcPr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1350" w:type="dxa"/>
            <w:shd w:val="pct10" w:color="D9D9D9" w:fill="D9D9D9"/>
            <w:vAlign w:val="center"/>
          </w:tcPr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540" w:type="dxa"/>
            <w:shd w:val="pct10" w:color="D9D9D9" w:fill="D9D9D9"/>
            <w:vAlign w:val="center"/>
          </w:tcPr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720" w:type="dxa"/>
            <w:shd w:val="pct10" w:color="D9D9D9" w:fill="D9D9D9"/>
            <w:vAlign w:val="center"/>
          </w:tcPr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1080" w:type="dxa"/>
            <w:shd w:val="pct10" w:color="D9D9D9" w:fill="D9D9D9"/>
            <w:vAlign w:val="center"/>
          </w:tcPr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540" w:type="dxa"/>
            <w:shd w:val="pct10" w:color="D9D9D9" w:fill="D9D9D9"/>
            <w:vAlign w:val="center"/>
          </w:tcPr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720" w:type="dxa"/>
            <w:shd w:val="pct10" w:color="D9D9D9" w:fill="D9D9D9"/>
            <w:vAlign w:val="center"/>
          </w:tcPr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1260" w:type="dxa"/>
            <w:shd w:val="pct10" w:color="D9D9D9" w:fill="D9D9D9"/>
            <w:vAlign w:val="center"/>
          </w:tcPr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1440" w:type="dxa"/>
            <w:shd w:val="pct10" w:color="D9D9D9" w:fill="D9D9D9"/>
            <w:vAlign w:val="center"/>
          </w:tcPr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1440" w:type="dxa"/>
            <w:shd w:val="pct10" w:color="D9D9D9" w:fill="D9D9D9"/>
            <w:vAlign w:val="center"/>
          </w:tcPr>
          <w:p w:rsidR="00ED0CC5" w:rsidRPr="00E40AE6" w:rsidRDefault="00ED0CC5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Macan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Epitaxis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Other dichotomous outcomes assessed in this study (not specifically relevant): change in warfarin dosage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Macan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Clinically relevant bleeding: Hemoptysis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Macan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Clinically relevant bleeding: bloody stools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Total included per arm is unclear (66 enrolled, 52 randomized total)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Macan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hemorrhage into organs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Total included per arm is unclear (66 enrolled, 52 randomized total)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Macan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Clinically relevant bleeding: hemarthrosis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Total included per arm is unclear (66 enrolled, 52 randomized total)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Macan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Clinically relevant bleeding: hematomas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Total included per arm is unclear (66 enrolled, 52 randomized total)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Macan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Clinically relevant bleeding?: brusing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Total included per arm is unclear (66 enrolled, 52 randomized total)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Steiner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1995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62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Hemorrhagic event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ASA (325)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Low-medium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Kaul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1992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bleeding complications (non-specific)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Calcium channel blocker, ASA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Low-medium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Bender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Bleeding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Bender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minor brusing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0AE6">
              <w:rPr>
                <w:rFonts w:ascii="Arial" w:hAnsi="Arial" w:cs="Arial"/>
                <w:sz w:val="18"/>
                <w:szCs w:val="18"/>
              </w:rPr>
              <w:t>numeric</w:t>
            </w:r>
            <w:proofErr w:type="gramEnd"/>
            <w:r w:rsidRPr="00E40AE6">
              <w:rPr>
                <w:rFonts w:ascii="Arial" w:hAnsi="Arial" w:cs="Arial"/>
                <w:sz w:val="18"/>
                <w:szCs w:val="18"/>
              </w:rPr>
              <w:t xml:space="preserve"> data is not separated by groups. One episode of bruising occured but no group designation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reported.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Dehmer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1988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bleeding complications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Aspirin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(325)+ Dipyridamole (225) + Calcium channel blockers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Dehmer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1988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serious passive hematoams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Aspirin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(325)+ Dipyridamole (225) + Calcium channel blockers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Eritsland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bleeding complications (major and minor)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Medium 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Eritsland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bleeding complications (major and minor)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Aspirin (300)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Medium </w:t>
            </w:r>
          </w:p>
        </w:tc>
      </w:tr>
      <w:tr w:rsidR="00980857" w:rsidRPr="00E40AE6" w:rsidTr="00ED0CC5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Mueller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1991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ASA (325 – single dose)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8B653E" w:rsidRDefault="008B653E" w:rsidP="008B653E">
      <w:pPr>
        <w:rPr>
          <w:rFonts w:ascii="Arial" w:hAnsi="Arial" w:cs="Arial"/>
          <w:sz w:val="18"/>
          <w:szCs w:val="18"/>
        </w:rPr>
      </w:pPr>
    </w:p>
    <w:sectPr w:rsidR="008B653E" w:rsidSect="008B653E">
      <w:pgSz w:w="15840" w:h="12240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2E1D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653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4255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2012-05-25T15:06:00Z</dcterms:modified>
</cp:coreProperties>
</file>