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ED0CC5">
      <w:pPr>
        <w:pStyle w:val="TableTitle"/>
      </w:pPr>
      <w:proofErr w:type="gramStart"/>
      <w:r>
        <w:rPr>
          <w:szCs w:val="20"/>
        </w:rPr>
        <w:t xml:space="preserve">Evidence </w:t>
      </w:r>
      <w:r w:rsidRPr="00253718">
        <w:t>Table</w:t>
      </w:r>
      <w:r w:rsidR="00ED0CC5">
        <w:t xml:space="preserve"> 120.</w:t>
      </w:r>
      <w:proofErr w:type="gramEnd"/>
      <w:r w:rsidR="00ED0CC5">
        <w:t xml:space="preserve"> </w:t>
      </w:r>
      <w:r w:rsidRPr="00253718">
        <w:t>KQ3</w:t>
      </w:r>
      <w:r w:rsidR="00ED0CC5">
        <w:rPr>
          <w:rFonts w:cs="Arial"/>
        </w:rPr>
        <w:t>—</w:t>
      </w:r>
      <w:r w:rsidRPr="00E40AE6">
        <w:t>Dichotomous</w:t>
      </w:r>
      <w:r w:rsidR="00ED0CC5">
        <w:rPr>
          <w:rFonts w:cs="Arial"/>
        </w:rPr>
        <w:t>—</w:t>
      </w:r>
      <w:r w:rsidRPr="00E40AE6">
        <w:t xml:space="preserve">Asparatate </w:t>
      </w:r>
      <w:proofErr w:type="spellStart"/>
      <w:r w:rsidRPr="00E40AE6">
        <w:t>aminotransferase</w:t>
      </w:r>
      <w:proofErr w:type="spellEnd"/>
      <w:r w:rsidRPr="00E40AE6">
        <w:t xml:space="preserve"> (AST) raised</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tblPr>
      <w:tblGrid>
        <w:gridCol w:w="1080"/>
        <w:gridCol w:w="1260"/>
        <w:gridCol w:w="1441"/>
        <w:gridCol w:w="1363"/>
        <w:gridCol w:w="1347"/>
        <w:gridCol w:w="517"/>
        <w:gridCol w:w="687"/>
        <w:gridCol w:w="1037"/>
        <w:gridCol w:w="517"/>
        <w:gridCol w:w="687"/>
        <w:gridCol w:w="1197"/>
        <w:gridCol w:w="1607"/>
        <w:gridCol w:w="1300"/>
      </w:tblGrid>
      <w:tr w:rsidR="00980857" w:rsidRPr="00ED0CC5" w:rsidTr="00ED0CC5">
        <w:trPr>
          <w:cantSplit/>
          <w:tblHeader/>
        </w:trPr>
        <w:tc>
          <w:tcPr>
            <w:tcW w:w="1080"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Author Year</w:t>
            </w:r>
          </w:p>
          <w:p w:rsidR="00980857" w:rsidRPr="00ED0CC5" w:rsidRDefault="00980857" w:rsidP="00400C74">
            <w:pPr>
              <w:spacing w:after="0"/>
              <w:ind w:firstLine="0"/>
              <w:jc w:val="center"/>
              <w:rPr>
                <w:rFonts w:ascii="Arial" w:hAnsi="Arial" w:cs="Arial"/>
                <w:b/>
                <w:sz w:val="18"/>
                <w:szCs w:val="18"/>
              </w:rPr>
            </w:pPr>
          </w:p>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Study Design</w:t>
            </w:r>
          </w:p>
        </w:tc>
        <w:tc>
          <w:tcPr>
            <w:tcW w:w="1260"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Definition of outcome (if relevant)</w:t>
            </w:r>
          </w:p>
        </w:tc>
        <w:tc>
          <w:tcPr>
            <w:tcW w:w="1441"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CHD Risk Category</w:t>
            </w:r>
          </w:p>
        </w:tc>
        <w:tc>
          <w:tcPr>
            <w:tcW w:w="1363"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CVD drug</w:t>
            </w:r>
          </w:p>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(dose mg/d))</w:t>
            </w:r>
          </w:p>
        </w:tc>
        <w:tc>
          <w:tcPr>
            <w:tcW w:w="134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Group 1: Name (supplement)</w:t>
            </w:r>
          </w:p>
        </w:tc>
        <w:tc>
          <w:tcPr>
            <w:tcW w:w="51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N1</w:t>
            </w:r>
          </w:p>
        </w:tc>
        <w:tc>
          <w:tcPr>
            <w:tcW w:w="68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N1 with event</w:t>
            </w:r>
          </w:p>
        </w:tc>
        <w:tc>
          <w:tcPr>
            <w:tcW w:w="103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Group 2: Name</w:t>
            </w:r>
          </w:p>
        </w:tc>
        <w:tc>
          <w:tcPr>
            <w:tcW w:w="51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N2</w:t>
            </w:r>
          </w:p>
        </w:tc>
        <w:tc>
          <w:tcPr>
            <w:tcW w:w="68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N2 with event</w:t>
            </w:r>
          </w:p>
        </w:tc>
        <w:tc>
          <w:tcPr>
            <w:tcW w:w="119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Estimates of Group Differences</w:t>
            </w:r>
          </w:p>
        </w:tc>
        <w:tc>
          <w:tcPr>
            <w:tcW w:w="1607"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Additional comments</w:t>
            </w:r>
          </w:p>
        </w:tc>
        <w:tc>
          <w:tcPr>
            <w:tcW w:w="1300" w:type="dxa"/>
            <w:shd w:val="pct10" w:color="D9D9D9" w:fill="D9D9D9"/>
            <w:vAlign w:val="center"/>
          </w:tcPr>
          <w:p w:rsidR="00980857" w:rsidRPr="00ED0CC5" w:rsidRDefault="00980857" w:rsidP="00400C74">
            <w:pPr>
              <w:spacing w:after="0"/>
              <w:ind w:firstLine="0"/>
              <w:jc w:val="center"/>
              <w:rPr>
                <w:rFonts w:ascii="Arial" w:hAnsi="Arial" w:cs="Arial"/>
                <w:b/>
                <w:sz w:val="18"/>
                <w:szCs w:val="18"/>
              </w:rPr>
            </w:pPr>
            <w:r w:rsidRPr="00ED0CC5">
              <w:rPr>
                <w:rFonts w:ascii="Arial" w:hAnsi="Arial" w:cs="Arial"/>
                <w:b/>
                <w:sz w:val="18"/>
                <w:szCs w:val="18"/>
              </w:rPr>
              <w:t>Overall Risk of Bias (ROB) Assessment</w:t>
            </w:r>
          </w:p>
        </w:tc>
      </w:tr>
      <w:tr w:rsidR="00980857" w:rsidRPr="00ED0CC5" w:rsidTr="00ED0CC5">
        <w:trPr>
          <w:cantSplit/>
        </w:trPr>
        <w:tc>
          <w:tcPr>
            <w:tcW w:w="108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Davidson</w:t>
            </w:r>
            <w:r w:rsidRPr="00ED0CC5">
              <w:rPr>
                <w:rFonts w:ascii="Arial" w:hAnsi="Arial" w:cs="Arial"/>
                <w:sz w:val="18"/>
                <w:szCs w:val="18"/>
              </w:rPr>
              <w:br/>
              <w:t>2007</w:t>
            </w:r>
            <w:r w:rsidRPr="00ED0CC5">
              <w:rPr>
                <w:rFonts w:ascii="Arial" w:hAnsi="Arial" w:cs="Arial"/>
                <w:noProof/>
                <w:sz w:val="18"/>
                <w:szCs w:val="18"/>
                <w:vertAlign w:val="superscript"/>
              </w:rPr>
              <w:t>14</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Parallel</w:t>
            </w:r>
          </w:p>
        </w:tc>
        <w:tc>
          <w:tcPr>
            <w:tcW w:w="126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&gt; 3.0 x ULN</w:t>
            </w:r>
          </w:p>
        </w:tc>
        <w:tc>
          <w:tcPr>
            <w:tcW w:w="1441"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Unclear</w:t>
            </w:r>
          </w:p>
        </w:tc>
        <w:tc>
          <w:tcPr>
            <w:tcW w:w="1363" w:type="dxa"/>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Simvastatin</w:t>
            </w:r>
            <w:proofErr w:type="spellEnd"/>
            <w:r w:rsidRPr="00ED0CC5">
              <w:rPr>
                <w:rFonts w:ascii="Arial" w:hAnsi="Arial" w:cs="Arial"/>
                <w:sz w:val="18"/>
                <w:szCs w:val="18"/>
              </w:rPr>
              <w:t xml:space="preserve"> (40)</w:t>
            </w:r>
          </w:p>
        </w:tc>
        <w:tc>
          <w:tcPr>
            <w:tcW w:w="134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Omega-3</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122</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Placebo</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132</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NR</w:t>
            </w:r>
          </w:p>
        </w:tc>
        <w:tc>
          <w:tcPr>
            <w:tcW w:w="1607" w:type="dxa"/>
            <w:vAlign w:val="center"/>
          </w:tcPr>
          <w:p w:rsidR="00980857" w:rsidRPr="00ED0CC5" w:rsidRDefault="00980857" w:rsidP="00400C74">
            <w:pPr>
              <w:spacing w:after="0"/>
              <w:ind w:firstLine="0"/>
              <w:jc w:val="center"/>
              <w:rPr>
                <w:rFonts w:ascii="Arial" w:hAnsi="Arial" w:cs="Arial"/>
                <w:sz w:val="18"/>
                <w:szCs w:val="18"/>
              </w:rPr>
            </w:pPr>
          </w:p>
        </w:tc>
        <w:tc>
          <w:tcPr>
            <w:tcW w:w="130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Napoli</w:t>
            </w:r>
            <w:proofErr w:type="spellEnd"/>
            <w:r w:rsidRPr="00ED0CC5">
              <w:rPr>
                <w:rFonts w:ascii="Arial" w:hAnsi="Arial" w:cs="Arial"/>
                <w:sz w:val="18"/>
                <w:szCs w:val="18"/>
              </w:rPr>
              <w:br/>
              <w:t>1998</w:t>
            </w:r>
            <w:r w:rsidRPr="00ED0CC5">
              <w:rPr>
                <w:rFonts w:ascii="Arial" w:hAnsi="Arial" w:cs="Arial"/>
                <w:noProof/>
                <w:sz w:val="18"/>
                <w:szCs w:val="18"/>
                <w:vertAlign w:val="superscript"/>
              </w:rPr>
              <w:t>52</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Parallel</w:t>
            </w:r>
          </w:p>
        </w:tc>
        <w:tc>
          <w:tcPr>
            <w:tcW w:w="126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Data imputed- there were no differences between baseline and post treatment values.</w:t>
            </w:r>
          </w:p>
        </w:tc>
        <w:tc>
          <w:tcPr>
            <w:tcW w:w="1441"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Unclear</w:t>
            </w:r>
          </w:p>
          <w:p w:rsidR="00980857" w:rsidRPr="00ED0CC5" w:rsidRDefault="00980857" w:rsidP="00400C74">
            <w:pPr>
              <w:spacing w:after="0"/>
              <w:ind w:firstLine="0"/>
              <w:jc w:val="center"/>
              <w:rPr>
                <w:rFonts w:ascii="Arial" w:hAnsi="Arial" w:cs="Arial"/>
                <w:sz w:val="18"/>
                <w:szCs w:val="18"/>
              </w:rPr>
            </w:pPr>
          </w:p>
        </w:tc>
        <w:tc>
          <w:tcPr>
            <w:tcW w:w="1363" w:type="dxa"/>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Pravastatin</w:t>
            </w:r>
            <w:proofErr w:type="spellEnd"/>
            <w:r w:rsidRPr="00ED0CC5">
              <w:rPr>
                <w:rFonts w:ascii="Arial" w:hAnsi="Arial" w:cs="Arial"/>
                <w:sz w:val="18"/>
                <w:szCs w:val="18"/>
              </w:rPr>
              <w:t xml:space="preserve"> (20-40)</w:t>
            </w:r>
          </w:p>
        </w:tc>
        <w:tc>
          <w:tcPr>
            <w:tcW w:w="134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Vitamin E</w:t>
            </w:r>
          </w:p>
        </w:tc>
        <w:tc>
          <w:tcPr>
            <w:tcW w:w="517" w:type="dxa"/>
            <w:vAlign w:val="center"/>
          </w:tcPr>
          <w:p w:rsidR="00980857" w:rsidRPr="00ED0CC5" w:rsidRDefault="00980857" w:rsidP="00400C74">
            <w:pPr>
              <w:spacing w:after="0"/>
              <w:ind w:firstLine="0"/>
              <w:jc w:val="center"/>
              <w:rPr>
                <w:rFonts w:ascii="Arial" w:hAnsi="Arial" w:cs="Arial"/>
                <w:sz w:val="18"/>
                <w:szCs w:val="18"/>
              </w:rPr>
            </w:pP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No Treatment</w:t>
            </w:r>
          </w:p>
        </w:tc>
        <w:tc>
          <w:tcPr>
            <w:tcW w:w="517" w:type="dxa"/>
            <w:vAlign w:val="center"/>
          </w:tcPr>
          <w:p w:rsidR="00980857" w:rsidRPr="00ED0CC5" w:rsidRDefault="00980857" w:rsidP="00400C74">
            <w:pPr>
              <w:spacing w:after="0"/>
              <w:ind w:firstLine="0"/>
              <w:jc w:val="center"/>
              <w:rPr>
                <w:rFonts w:ascii="Arial" w:hAnsi="Arial" w:cs="Arial"/>
                <w:sz w:val="18"/>
                <w:szCs w:val="18"/>
              </w:rPr>
            </w:pP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vAlign w:val="center"/>
          </w:tcPr>
          <w:p w:rsidR="00980857" w:rsidRPr="00ED0CC5" w:rsidRDefault="00980857" w:rsidP="00400C74">
            <w:pPr>
              <w:spacing w:after="0"/>
              <w:ind w:firstLine="0"/>
              <w:jc w:val="center"/>
              <w:rPr>
                <w:rFonts w:ascii="Arial" w:hAnsi="Arial" w:cs="Arial"/>
                <w:sz w:val="18"/>
                <w:szCs w:val="18"/>
              </w:rPr>
            </w:pPr>
          </w:p>
        </w:tc>
        <w:tc>
          <w:tcPr>
            <w:tcW w:w="160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No differences in routine laboratory tests or adverse events were registered during the study in particular there were no differences between the values recorded in each individual after treatment compared to baseline values, and no differences between the treatment groups.</w:t>
            </w:r>
          </w:p>
        </w:tc>
        <w:tc>
          <w:tcPr>
            <w:tcW w:w="130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Chan</w:t>
            </w:r>
            <w:r w:rsidRPr="00ED0CC5">
              <w:rPr>
                <w:rFonts w:ascii="Arial" w:hAnsi="Arial" w:cs="Arial"/>
                <w:sz w:val="18"/>
                <w:szCs w:val="18"/>
              </w:rPr>
              <w:br/>
              <w:t>2002</w:t>
            </w:r>
            <w:r w:rsidRPr="00ED0CC5">
              <w:rPr>
                <w:rFonts w:ascii="Arial" w:hAnsi="Arial" w:cs="Arial"/>
                <w:noProof/>
                <w:sz w:val="18"/>
                <w:szCs w:val="18"/>
                <w:vertAlign w:val="superscript"/>
              </w:rPr>
              <w:t>12</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Parallel</w:t>
            </w:r>
          </w:p>
        </w:tc>
        <w:tc>
          <w:tcPr>
            <w:tcW w:w="126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thresholds not specified</w:t>
            </w:r>
          </w:p>
        </w:tc>
        <w:tc>
          <w:tcPr>
            <w:tcW w:w="1441"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At moderate/moderately high risk for CHD (2+ risk factors)</w:t>
            </w:r>
          </w:p>
        </w:tc>
        <w:tc>
          <w:tcPr>
            <w:tcW w:w="1363" w:type="dxa"/>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Atorvastatin</w:t>
            </w:r>
            <w:proofErr w:type="spellEnd"/>
            <w:r w:rsidRPr="00ED0CC5">
              <w:rPr>
                <w:rFonts w:ascii="Arial" w:hAnsi="Arial" w:cs="Arial"/>
                <w:sz w:val="18"/>
                <w:szCs w:val="18"/>
              </w:rPr>
              <w:t xml:space="preserve"> (40)</w:t>
            </w:r>
          </w:p>
        </w:tc>
        <w:tc>
          <w:tcPr>
            <w:tcW w:w="134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Omega-3</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11</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No Treatment</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13</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vAlign w:val="center"/>
          </w:tcPr>
          <w:p w:rsidR="00980857" w:rsidRPr="00ED0CC5" w:rsidRDefault="00980857" w:rsidP="00400C74">
            <w:pPr>
              <w:spacing w:after="0"/>
              <w:ind w:firstLine="0"/>
              <w:jc w:val="center"/>
              <w:rPr>
                <w:rFonts w:ascii="Arial" w:hAnsi="Arial" w:cs="Arial"/>
                <w:sz w:val="18"/>
                <w:szCs w:val="18"/>
              </w:rPr>
            </w:pPr>
          </w:p>
        </w:tc>
        <w:tc>
          <w:tcPr>
            <w:tcW w:w="1607" w:type="dxa"/>
            <w:vAlign w:val="center"/>
          </w:tcPr>
          <w:p w:rsidR="00980857" w:rsidRPr="00ED0CC5" w:rsidRDefault="00980857" w:rsidP="00400C74">
            <w:pPr>
              <w:spacing w:after="0"/>
              <w:ind w:firstLine="0"/>
              <w:jc w:val="center"/>
              <w:rPr>
                <w:rFonts w:ascii="Arial" w:hAnsi="Arial" w:cs="Arial"/>
                <w:sz w:val="18"/>
                <w:szCs w:val="18"/>
              </w:rPr>
            </w:pPr>
          </w:p>
        </w:tc>
        <w:tc>
          <w:tcPr>
            <w:tcW w:w="130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Liu</w:t>
            </w:r>
            <w:r w:rsidRPr="00ED0CC5">
              <w:rPr>
                <w:rFonts w:ascii="Arial" w:hAnsi="Arial" w:cs="Arial"/>
                <w:sz w:val="18"/>
                <w:szCs w:val="18"/>
              </w:rPr>
              <w:br/>
              <w:t>2003</w:t>
            </w:r>
            <w:r w:rsidRPr="00ED0CC5">
              <w:rPr>
                <w:rFonts w:ascii="Arial" w:hAnsi="Arial" w:cs="Arial"/>
                <w:noProof/>
                <w:sz w:val="18"/>
                <w:szCs w:val="18"/>
                <w:vertAlign w:val="superscript"/>
              </w:rPr>
              <w:t>37</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Parallel</w:t>
            </w:r>
          </w:p>
        </w:tc>
        <w:tc>
          <w:tcPr>
            <w:tcW w:w="126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thresholds not specified</w:t>
            </w:r>
          </w:p>
        </w:tc>
        <w:tc>
          <w:tcPr>
            <w:tcW w:w="1441"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Unclear</w:t>
            </w:r>
          </w:p>
          <w:p w:rsidR="00980857" w:rsidRPr="00ED0CC5" w:rsidRDefault="00980857" w:rsidP="00400C74">
            <w:pPr>
              <w:spacing w:after="0"/>
              <w:ind w:firstLine="0"/>
              <w:jc w:val="center"/>
              <w:rPr>
                <w:rFonts w:ascii="Arial" w:hAnsi="Arial" w:cs="Arial"/>
                <w:sz w:val="18"/>
                <w:szCs w:val="18"/>
              </w:rPr>
            </w:pPr>
          </w:p>
        </w:tc>
        <w:tc>
          <w:tcPr>
            <w:tcW w:w="1363" w:type="dxa"/>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Simvastatin</w:t>
            </w:r>
            <w:proofErr w:type="spellEnd"/>
            <w:r w:rsidRPr="00ED0CC5">
              <w:rPr>
                <w:rFonts w:ascii="Arial" w:hAnsi="Arial" w:cs="Arial"/>
                <w:sz w:val="18"/>
                <w:szCs w:val="18"/>
              </w:rPr>
              <w:t xml:space="preserve"> (10)</w:t>
            </w:r>
          </w:p>
        </w:tc>
        <w:tc>
          <w:tcPr>
            <w:tcW w:w="134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Omega-3</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19</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No Treatment</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18</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vAlign w:val="center"/>
          </w:tcPr>
          <w:p w:rsidR="00980857" w:rsidRPr="00ED0CC5" w:rsidRDefault="00980857" w:rsidP="00400C74">
            <w:pPr>
              <w:spacing w:after="0"/>
              <w:ind w:firstLine="0"/>
              <w:jc w:val="center"/>
              <w:rPr>
                <w:rFonts w:ascii="Arial" w:hAnsi="Arial" w:cs="Arial"/>
                <w:sz w:val="18"/>
                <w:szCs w:val="18"/>
              </w:rPr>
            </w:pPr>
          </w:p>
        </w:tc>
        <w:tc>
          <w:tcPr>
            <w:tcW w:w="1607" w:type="dxa"/>
            <w:vAlign w:val="center"/>
          </w:tcPr>
          <w:p w:rsidR="00980857" w:rsidRPr="00ED0CC5" w:rsidRDefault="00980857" w:rsidP="00400C74">
            <w:pPr>
              <w:spacing w:after="0"/>
              <w:ind w:firstLine="0"/>
              <w:jc w:val="center"/>
              <w:rPr>
                <w:rFonts w:ascii="Arial" w:hAnsi="Arial" w:cs="Arial"/>
                <w:sz w:val="18"/>
                <w:szCs w:val="18"/>
              </w:rPr>
            </w:pPr>
          </w:p>
        </w:tc>
        <w:tc>
          <w:tcPr>
            <w:tcW w:w="130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bl>
    <w:p w:rsidR="00ED0CC5" w:rsidRDefault="00ED0CC5">
      <w:pPr>
        <w:spacing w:after="0"/>
        <w:ind w:firstLine="0"/>
      </w:pPr>
      <w:r>
        <w:br w:type="page"/>
      </w:r>
    </w:p>
    <w:p w:rsidR="00ED0CC5" w:rsidRPr="00E40AE6" w:rsidRDefault="00ED0CC5" w:rsidP="00ED0CC5">
      <w:pPr>
        <w:pStyle w:val="TableTitle"/>
      </w:pPr>
      <w:proofErr w:type="gramStart"/>
      <w:r>
        <w:rPr>
          <w:szCs w:val="20"/>
        </w:rPr>
        <w:lastRenderedPageBreak/>
        <w:t xml:space="preserve">Evidence </w:t>
      </w:r>
      <w:r w:rsidRPr="00253718">
        <w:t>Table</w:t>
      </w:r>
      <w:r>
        <w:t xml:space="preserve"> 120.</w:t>
      </w:r>
      <w:proofErr w:type="gramEnd"/>
      <w:r>
        <w:t xml:space="preserve"> </w:t>
      </w:r>
      <w:r w:rsidRPr="00253718">
        <w:t>KQ3</w:t>
      </w:r>
      <w:r>
        <w:rPr>
          <w:rFonts w:cs="Arial"/>
        </w:rPr>
        <w:t>—</w:t>
      </w:r>
      <w:r w:rsidRPr="00E40AE6">
        <w:t>Dichotomous</w:t>
      </w:r>
      <w:r>
        <w:rPr>
          <w:rFonts w:cs="Arial"/>
        </w:rPr>
        <w:t>—</w:t>
      </w:r>
      <w:r w:rsidRPr="00E40AE6">
        <w:t xml:space="preserve">Asparatate </w:t>
      </w:r>
      <w:proofErr w:type="spellStart"/>
      <w:r w:rsidRPr="00E40AE6">
        <w:t>aminotransferase</w:t>
      </w:r>
      <w:proofErr w:type="spellEnd"/>
      <w:r w:rsidRPr="00E40AE6">
        <w:t xml:space="preserve"> (AST) raised</w:t>
      </w:r>
      <w:r>
        <w:t xml:space="preserve"> (continued)</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tblPr>
      <w:tblGrid>
        <w:gridCol w:w="1080"/>
        <w:gridCol w:w="1260"/>
        <w:gridCol w:w="1441"/>
        <w:gridCol w:w="1363"/>
        <w:gridCol w:w="1347"/>
        <w:gridCol w:w="517"/>
        <w:gridCol w:w="687"/>
        <w:gridCol w:w="1037"/>
        <w:gridCol w:w="517"/>
        <w:gridCol w:w="687"/>
        <w:gridCol w:w="1197"/>
        <w:gridCol w:w="1607"/>
        <w:gridCol w:w="1300"/>
      </w:tblGrid>
      <w:tr w:rsidR="00ED0CC5" w:rsidRPr="00ED0CC5" w:rsidTr="00ED0CC5">
        <w:trPr>
          <w:cantSplit/>
          <w:tblHeader/>
        </w:trPr>
        <w:tc>
          <w:tcPr>
            <w:tcW w:w="1080"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Author Year</w:t>
            </w:r>
          </w:p>
          <w:p w:rsidR="00ED0CC5" w:rsidRPr="00ED0CC5" w:rsidRDefault="00ED0CC5" w:rsidP="00ED0CC5">
            <w:pPr>
              <w:spacing w:after="0"/>
              <w:ind w:firstLine="0"/>
              <w:jc w:val="center"/>
              <w:rPr>
                <w:rFonts w:ascii="Arial" w:hAnsi="Arial" w:cs="Arial"/>
                <w:b/>
                <w:sz w:val="18"/>
                <w:szCs w:val="18"/>
              </w:rPr>
            </w:pPr>
          </w:p>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Study Design</w:t>
            </w:r>
          </w:p>
        </w:tc>
        <w:tc>
          <w:tcPr>
            <w:tcW w:w="1260"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Definition of outcome (if relevant)</w:t>
            </w:r>
          </w:p>
        </w:tc>
        <w:tc>
          <w:tcPr>
            <w:tcW w:w="1441"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CHD Risk Category</w:t>
            </w:r>
          </w:p>
        </w:tc>
        <w:tc>
          <w:tcPr>
            <w:tcW w:w="1363"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CVD drug</w:t>
            </w:r>
          </w:p>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(dose mg/d))</w:t>
            </w:r>
          </w:p>
        </w:tc>
        <w:tc>
          <w:tcPr>
            <w:tcW w:w="134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Group 1: Name (supplement)</w:t>
            </w:r>
          </w:p>
        </w:tc>
        <w:tc>
          <w:tcPr>
            <w:tcW w:w="51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N1</w:t>
            </w:r>
          </w:p>
        </w:tc>
        <w:tc>
          <w:tcPr>
            <w:tcW w:w="68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N1 with event</w:t>
            </w:r>
          </w:p>
        </w:tc>
        <w:tc>
          <w:tcPr>
            <w:tcW w:w="103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Group 2: Name</w:t>
            </w:r>
          </w:p>
        </w:tc>
        <w:tc>
          <w:tcPr>
            <w:tcW w:w="51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N2</w:t>
            </w:r>
          </w:p>
        </w:tc>
        <w:tc>
          <w:tcPr>
            <w:tcW w:w="68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N2 with event</w:t>
            </w:r>
          </w:p>
        </w:tc>
        <w:tc>
          <w:tcPr>
            <w:tcW w:w="119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Estimates of Group Differences</w:t>
            </w:r>
          </w:p>
        </w:tc>
        <w:tc>
          <w:tcPr>
            <w:tcW w:w="1607"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Additional comments</w:t>
            </w:r>
          </w:p>
        </w:tc>
        <w:tc>
          <w:tcPr>
            <w:tcW w:w="1300" w:type="dxa"/>
            <w:shd w:val="pct10" w:color="D9D9D9" w:fill="D9D9D9"/>
            <w:vAlign w:val="center"/>
          </w:tcPr>
          <w:p w:rsidR="00ED0CC5" w:rsidRPr="00ED0CC5" w:rsidRDefault="00ED0CC5" w:rsidP="00ED0CC5">
            <w:pPr>
              <w:spacing w:after="0"/>
              <w:ind w:firstLine="0"/>
              <w:jc w:val="center"/>
              <w:rPr>
                <w:rFonts w:ascii="Arial" w:hAnsi="Arial" w:cs="Arial"/>
                <w:b/>
                <w:sz w:val="18"/>
                <w:szCs w:val="18"/>
              </w:rPr>
            </w:pPr>
            <w:r w:rsidRPr="00ED0CC5">
              <w:rPr>
                <w:rFonts w:ascii="Arial" w:hAnsi="Arial" w:cs="Arial"/>
                <w:b/>
                <w:sz w:val="18"/>
                <w:szCs w:val="18"/>
              </w:rPr>
              <w:t>Overall Risk of Bias (ROB) Assessment</w:t>
            </w:r>
          </w:p>
        </w:tc>
      </w:tr>
      <w:tr w:rsidR="00980857" w:rsidRPr="00ED0CC5" w:rsidTr="00ED0CC5">
        <w:trPr>
          <w:cantSplit/>
        </w:trPr>
        <w:tc>
          <w:tcPr>
            <w:tcW w:w="108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Young</w:t>
            </w:r>
            <w:r w:rsidRPr="00ED0CC5">
              <w:rPr>
                <w:rFonts w:ascii="Arial" w:hAnsi="Arial" w:cs="Arial"/>
                <w:sz w:val="18"/>
                <w:szCs w:val="18"/>
              </w:rPr>
              <w:br/>
              <w:t>2007</w:t>
            </w:r>
            <w:r w:rsidRPr="00ED0CC5">
              <w:rPr>
                <w:rFonts w:ascii="Arial" w:hAnsi="Arial" w:cs="Arial"/>
                <w:noProof/>
                <w:sz w:val="18"/>
                <w:szCs w:val="18"/>
                <w:vertAlign w:val="superscript"/>
              </w:rPr>
              <w:t>70</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Parallel</w:t>
            </w:r>
          </w:p>
        </w:tc>
        <w:tc>
          <w:tcPr>
            <w:tcW w:w="126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&gt; 3 times the upper level of normal</w:t>
            </w:r>
          </w:p>
        </w:tc>
        <w:tc>
          <w:tcPr>
            <w:tcW w:w="1441"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Mixed:</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Mod and high risk</w:t>
            </w:r>
          </w:p>
        </w:tc>
        <w:tc>
          <w:tcPr>
            <w:tcW w:w="1363" w:type="dxa"/>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Simvastatin</w:t>
            </w:r>
            <w:proofErr w:type="spellEnd"/>
            <w:r w:rsidRPr="00ED0CC5">
              <w:rPr>
                <w:rFonts w:ascii="Arial" w:hAnsi="Arial" w:cs="Arial"/>
                <w:sz w:val="18"/>
                <w:szCs w:val="18"/>
              </w:rPr>
              <w:t xml:space="preserve"> (10-40)</w:t>
            </w:r>
          </w:p>
        </w:tc>
        <w:tc>
          <w:tcPr>
            <w:tcW w:w="134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Co-Q10</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22</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Placebo</w:t>
            </w:r>
          </w:p>
        </w:tc>
        <w:tc>
          <w:tcPr>
            <w:tcW w:w="51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22</w:t>
            </w:r>
          </w:p>
        </w:tc>
        <w:tc>
          <w:tcPr>
            <w:tcW w:w="68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NR</w:t>
            </w:r>
          </w:p>
        </w:tc>
        <w:tc>
          <w:tcPr>
            <w:tcW w:w="1607"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 xml:space="preserve">Exclusion criteria included: </w:t>
            </w:r>
            <w:proofErr w:type="spellStart"/>
            <w:r w:rsidRPr="00ED0CC5">
              <w:rPr>
                <w:rFonts w:ascii="Arial" w:hAnsi="Arial" w:cs="Arial"/>
                <w:sz w:val="18"/>
                <w:szCs w:val="18"/>
              </w:rPr>
              <w:t>alanine</w:t>
            </w:r>
            <w:proofErr w:type="spellEnd"/>
            <w:r w:rsidRPr="00ED0CC5">
              <w:rPr>
                <w:rFonts w:ascii="Arial" w:hAnsi="Arial" w:cs="Arial"/>
                <w:sz w:val="18"/>
                <w:szCs w:val="18"/>
              </w:rPr>
              <w:t xml:space="preserve"> </w:t>
            </w:r>
            <w:proofErr w:type="spellStart"/>
            <w:r w:rsidRPr="00ED0CC5">
              <w:rPr>
                <w:rFonts w:ascii="Arial" w:hAnsi="Arial" w:cs="Arial"/>
                <w:sz w:val="18"/>
                <w:szCs w:val="18"/>
              </w:rPr>
              <w:t>aminotransferase</w:t>
            </w:r>
            <w:proofErr w:type="spellEnd"/>
            <w:r w:rsidRPr="00ED0CC5">
              <w:rPr>
                <w:rFonts w:ascii="Arial" w:hAnsi="Arial" w:cs="Arial"/>
                <w:sz w:val="18"/>
                <w:szCs w:val="18"/>
              </w:rPr>
              <w:t xml:space="preserve"> or </w:t>
            </w:r>
            <w:proofErr w:type="spellStart"/>
            <w:r w:rsidRPr="00ED0CC5">
              <w:rPr>
                <w:rFonts w:ascii="Arial" w:hAnsi="Arial" w:cs="Arial"/>
                <w:sz w:val="18"/>
                <w:szCs w:val="18"/>
              </w:rPr>
              <w:t>aspartate</w:t>
            </w:r>
            <w:proofErr w:type="spellEnd"/>
            <w:r w:rsidRPr="00ED0CC5">
              <w:rPr>
                <w:rFonts w:ascii="Arial" w:hAnsi="Arial" w:cs="Arial"/>
                <w:sz w:val="18"/>
                <w:szCs w:val="18"/>
              </w:rPr>
              <w:t xml:space="preserve"> </w:t>
            </w:r>
            <w:proofErr w:type="spellStart"/>
            <w:r w:rsidRPr="00ED0CC5">
              <w:rPr>
                <w:rFonts w:ascii="Arial" w:hAnsi="Arial" w:cs="Arial"/>
                <w:sz w:val="18"/>
                <w:szCs w:val="18"/>
              </w:rPr>
              <w:t>aminotransferase</w:t>
            </w:r>
            <w:proofErr w:type="spellEnd"/>
            <w:r w:rsidRPr="00ED0CC5">
              <w:rPr>
                <w:rFonts w:ascii="Arial" w:hAnsi="Arial" w:cs="Arial"/>
                <w:sz w:val="18"/>
                <w:szCs w:val="18"/>
              </w:rPr>
              <w:t xml:space="preserve"> &gt; 3 times the upper level of normal and results state: "Liver... function, </w:t>
            </w:r>
            <w:proofErr w:type="gramStart"/>
            <w:r w:rsidRPr="00ED0CC5">
              <w:rPr>
                <w:rFonts w:ascii="Arial" w:hAnsi="Arial" w:cs="Arial"/>
                <w:sz w:val="18"/>
                <w:szCs w:val="18"/>
              </w:rPr>
              <w:t>…[</w:t>
            </w:r>
            <w:proofErr w:type="gramEnd"/>
            <w:r w:rsidRPr="00ED0CC5">
              <w:rPr>
                <w:rFonts w:ascii="Arial" w:hAnsi="Arial" w:cs="Arial"/>
                <w:sz w:val="18"/>
                <w:szCs w:val="18"/>
              </w:rPr>
              <w:t>was] not altered with either regime." Thus, counts of 0 and 0 were added for each arm</w:t>
            </w:r>
          </w:p>
        </w:tc>
        <w:tc>
          <w:tcPr>
            <w:tcW w:w="1300" w:type="dxa"/>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Gosai</w:t>
            </w:r>
            <w:proofErr w:type="spellEnd"/>
            <w:r w:rsidRPr="00ED0CC5">
              <w:rPr>
                <w:rFonts w:ascii="Arial" w:hAnsi="Arial" w:cs="Arial"/>
                <w:sz w:val="18"/>
                <w:szCs w:val="18"/>
              </w:rPr>
              <w:br/>
              <w:t>2008</w:t>
            </w:r>
            <w:r w:rsidRPr="00ED0CC5">
              <w:rPr>
                <w:rFonts w:ascii="Arial" w:hAnsi="Arial" w:cs="Arial"/>
                <w:noProof/>
                <w:sz w:val="18"/>
                <w:szCs w:val="18"/>
                <w:vertAlign w:val="superscript"/>
              </w:rPr>
              <w:t>26</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Crossover</w:t>
            </w:r>
          </w:p>
        </w:tc>
        <w:tc>
          <w:tcPr>
            <w:tcW w:w="126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reference range males: 0-46 U/L; females: 0-36 U/L</w:t>
            </w:r>
          </w:p>
          <w:p w:rsidR="00980857" w:rsidRPr="00ED0CC5" w:rsidRDefault="00980857" w:rsidP="00400C74">
            <w:pPr>
              <w:spacing w:after="0"/>
              <w:ind w:firstLine="0"/>
              <w:jc w:val="center"/>
              <w:rPr>
                <w:rFonts w:ascii="Arial" w:hAnsi="Arial" w:cs="Arial"/>
                <w:sz w:val="18"/>
                <w:szCs w:val="18"/>
              </w:rPr>
            </w:pPr>
          </w:p>
        </w:tc>
        <w:tc>
          <w:tcPr>
            <w:tcW w:w="1441"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At low risk for CHD (0-1 risk factors)</w:t>
            </w:r>
          </w:p>
        </w:tc>
        <w:tc>
          <w:tcPr>
            <w:tcW w:w="1363"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Rosuvastatin</w:t>
            </w:r>
            <w:proofErr w:type="spellEnd"/>
            <w:r w:rsidRPr="00ED0CC5">
              <w:rPr>
                <w:rFonts w:ascii="Arial" w:hAnsi="Arial" w:cs="Arial"/>
                <w:sz w:val="18"/>
                <w:szCs w:val="18"/>
              </w:rPr>
              <w:t xml:space="preserve"> (40)</w:t>
            </w:r>
          </w:p>
        </w:tc>
        <w:tc>
          <w:tcPr>
            <w:tcW w:w="134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Omega-3</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48</w:t>
            </w: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No Treatment</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48</w:t>
            </w: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2</w:t>
            </w:r>
          </w:p>
        </w:tc>
        <w:tc>
          <w:tcPr>
            <w:tcW w:w="119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160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30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Di</w:t>
            </w:r>
            <w:proofErr w:type="spellEnd"/>
            <w:r w:rsidRPr="00ED0CC5">
              <w:rPr>
                <w:rFonts w:ascii="Arial" w:hAnsi="Arial" w:cs="Arial"/>
                <w:sz w:val="18"/>
                <w:szCs w:val="18"/>
              </w:rPr>
              <w:t xml:space="preserve"> </w:t>
            </w:r>
            <w:proofErr w:type="spellStart"/>
            <w:r w:rsidRPr="00ED0CC5">
              <w:rPr>
                <w:rFonts w:ascii="Arial" w:hAnsi="Arial" w:cs="Arial"/>
                <w:sz w:val="18"/>
                <w:szCs w:val="18"/>
              </w:rPr>
              <w:t>Spirito</w:t>
            </w:r>
            <w:proofErr w:type="spellEnd"/>
            <w:r w:rsidRPr="00ED0CC5">
              <w:rPr>
                <w:rFonts w:ascii="Arial" w:hAnsi="Arial" w:cs="Arial"/>
                <w:sz w:val="18"/>
                <w:szCs w:val="18"/>
              </w:rPr>
              <w:br/>
              <w:t>2008</w:t>
            </w:r>
            <w:r w:rsidRPr="00ED0CC5">
              <w:rPr>
                <w:rFonts w:ascii="Arial" w:hAnsi="Arial" w:cs="Arial"/>
                <w:noProof/>
                <w:sz w:val="18"/>
                <w:szCs w:val="18"/>
                <w:vertAlign w:val="superscript"/>
              </w:rPr>
              <w:t>19</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Crossover</w:t>
            </w:r>
          </w:p>
        </w:tc>
        <w:tc>
          <w:tcPr>
            <w:tcW w:w="126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441"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At low risk for CHD (0-1 risk factors)</w:t>
            </w:r>
          </w:p>
        </w:tc>
        <w:tc>
          <w:tcPr>
            <w:tcW w:w="1363"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Atorvastatin</w:t>
            </w:r>
            <w:proofErr w:type="spellEnd"/>
            <w:r w:rsidRPr="00ED0CC5">
              <w:rPr>
                <w:rFonts w:ascii="Arial" w:hAnsi="Arial" w:cs="Arial"/>
                <w:sz w:val="18"/>
                <w:szCs w:val="18"/>
              </w:rPr>
              <w:t xml:space="preserve"> (80)</w:t>
            </w:r>
          </w:p>
        </w:tc>
        <w:tc>
          <w:tcPr>
            <w:tcW w:w="134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Omega-3</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50</w:t>
            </w: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9</w:t>
            </w:r>
          </w:p>
        </w:tc>
        <w:tc>
          <w:tcPr>
            <w:tcW w:w="103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No Treatment</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50</w:t>
            </w: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13</w:t>
            </w:r>
          </w:p>
        </w:tc>
        <w:tc>
          <w:tcPr>
            <w:tcW w:w="119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160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30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Balestrieri</w:t>
            </w:r>
            <w:proofErr w:type="spellEnd"/>
            <w:r w:rsidRPr="00ED0CC5">
              <w:rPr>
                <w:rFonts w:ascii="Arial" w:hAnsi="Arial" w:cs="Arial"/>
                <w:sz w:val="18"/>
                <w:szCs w:val="18"/>
              </w:rPr>
              <w:br/>
              <w:t>1996</w:t>
            </w:r>
            <w:r w:rsidRPr="00ED0CC5">
              <w:rPr>
                <w:rFonts w:ascii="Arial" w:hAnsi="Arial" w:cs="Arial"/>
                <w:noProof/>
                <w:sz w:val="18"/>
                <w:szCs w:val="18"/>
                <w:vertAlign w:val="superscript"/>
              </w:rPr>
              <w:t>4</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Crossover</w:t>
            </w:r>
          </w:p>
        </w:tc>
        <w:tc>
          <w:tcPr>
            <w:tcW w:w="126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441"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Mixed:</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Low and/or mod to high risk</w:t>
            </w:r>
          </w:p>
        </w:tc>
        <w:tc>
          <w:tcPr>
            <w:tcW w:w="1363"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Simvastatin</w:t>
            </w:r>
            <w:proofErr w:type="spellEnd"/>
            <w:r w:rsidRPr="00ED0CC5">
              <w:rPr>
                <w:rFonts w:ascii="Arial" w:hAnsi="Arial" w:cs="Arial"/>
                <w:sz w:val="18"/>
                <w:szCs w:val="18"/>
              </w:rPr>
              <w:t xml:space="preserve"> (10-40)</w:t>
            </w:r>
          </w:p>
        </w:tc>
        <w:tc>
          <w:tcPr>
            <w:tcW w:w="134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Omega-3</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14</w:t>
            </w: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Placebo</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16</w:t>
            </w: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160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30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Paolissa</w:t>
            </w:r>
            <w:proofErr w:type="spellEnd"/>
            <w:r w:rsidRPr="00ED0CC5">
              <w:rPr>
                <w:rFonts w:ascii="Arial" w:hAnsi="Arial" w:cs="Arial"/>
                <w:sz w:val="18"/>
                <w:szCs w:val="18"/>
              </w:rPr>
              <w:br/>
              <w:t>1992</w:t>
            </w:r>
            <w:r w:rsidRPr="00ED0CC5">
              <w:rPr>
                <w:rFonts w:ascii="Arial" w:hAnsi="Arial" w:cs="Arial"/>
                <w:noProof/>
                <w:sz w:val="18"/>
                <w:szCs w:val="18"/>
                <w:vertAlign w:val="superscript"/>
              </w:rPr>
              <w:t>56</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Crossover</w:t>
            </w:r>
          </w:p>
        </w:tc>
        <w:tc>
          <w:tcPr>
            <w:tcW w:w="126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441"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At high risk for CHD</w:t>
            </w:r>
          </w:p>
        </w:tc>
        <w:tc>
          <w:tcPr>
            <w:tcW w:w="1363"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roofErr w:type="spellStart"/>
            <w:r w:rsidRPr="00ED0CC5">
              <w:rPr>
                <w:rFonts w:ascii="Arial" w:hAnsi="Arial" w:cs="Arial"/>
                <w:sz w:val="18"/>
                <w:szCs w:val="18"/>
              </w:rPr>
              <w:t>Nifedipine</w:t>
            </w:r>
            <w:proofErr w:type="spellEnd"/>
            <w:r w:rsidRPr="00ED0CC5">
              <w:rPr>
                <w:rFonts w:ascii="Arial" w:hAnsi="Arial" w:cs="Arial"/>
                <w:sz w:val="18"/>
                <w:szCs w:val="18"/>
              </w:rPr>
              <w:t xml:space="preserve"> (88)</w:t>
            </w:r>
          </w:p>
        </w:tc>
        <w:tc>
          <w:tcPr>
            <w:tcW w:w="134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Vitamin E</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Placebo</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160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30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r w:rsidR="00980857" w:rsidRPr="00ED0CC5" w:rsidTr="00ED0CC5">
        <w:trPr>
          <w:cantSplit/>
        </w:trPr>
        <w:tc>
          <w:tcPr>
            <w:tcW w:w="108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Watson</w:t>
            </w:r>
            <w:r w:rsidRPr="00ED0CC5">
              <w:rPr>
                <w:rFonts w:ascii="Arial" w:hAnsi="Arial" w:cs="Arial"/>
                <w:sz w:val="18"/>
                <w:szCs w:val="18"/>
              </w:rPr>
              <w:br/>
              <w:t>1999</w:t>
            </w:r>
            <w:r w:rsidRPr="00ED0CC5">
              <w:rPr>
                <w:rFonts w:ascii="Arial" w:hAnsi="Arial" w:cs="Arial"/>
                <w:noProof/>
                <w:sz w:val="18"/>
                <w:szCs w:val="18"/>
                <w:vertAlign w:val="superscript"/>
              </w:rPr>
              <w:t>66</w:t>
            </w:r>
          </w:p>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Crossover</w:t>
            </w:r>
          </w:p>
        </w:tc>
        <w:tc>
          <w:tcPr>
            <w:tcW w:w="126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441"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At high risk for CHD</w:t>
            </w:r>
          </w:p>
        </w:tc>
        <w:tc>
          <w:tcPr>
            <w:tcW w:w="1363"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 xml:space="preserve">ACE inhibitors (no description), </w:t>
            </w:r>
            <w:proofErr w:type="spellStart"/>
            <w:r w:rsidRPr="00ED0CC5">
              <w:rPr>
                <w:rFonts w:ascii="Arial" w:hAnsi="Arial" w:cs="Arial"/>
                <w:sz w:val="18"/>
                <w:szCs w:val="18"/>
              </w:rPr>
              <w:t>furosemide</w:t>
            </w:r>
            <w:proofErr w:type="spellEnd"/>
            <w:r w:rsidRPr="00ED0CC5">
              <w:rPr>
                <w:rFonts w:ascii="Arial" w:hAnsi="Arial" w:cs="Arial"/>
                <w:sz w:val="18"/>
                <w:szCs w:val="18"/>
              </w:rPr>
              <w:t xml:space="preserve">, </w:t>
            </w:r>
            <w:proofErr w:type="spellStart"/>
            <w:r w:rsidRPr="00ED0CC5">
              <w:rPr>
                <w:rFonts w:ascii="Arial" w:hAnsi="Arial" w:cs="Arial"/>
                <w:sz w:val="18"/>
                <w:szCs w:val="18"/>
              </w:rPr>
              <w:t>digoxin</w:t>
            </w:r>
            <w:proofErr w:type="spellEnd"/>
            <w:r w:rsidRPr="00ED0CC5">
              <w:rPr>
                <w:rFonts w:ascii="Arial" w:hAnsi="Arial" w:cs="Arial"/>
                <w:sz w:val="18"/>
                <w:szCs w:val="18"/>
              </w:rPr>
              <w:t xml:space="preserve">, also </w:t>
            </w:r>
            <w:proofErr w:type="spellStart"/>
            <w:r w:rsidRPr="00ED0CC5">
              <w:rPr>
                <w:rFonts w:ascii="Arial" w:hAnsi="Arial" w:cs="Arial"/>
                <w:sz w:val="18"/>
                <w:szCs w:val="18"/>
              </w:rPr>
              <w:t>hydralazine</w:t>
            </w:r>
            <w:proofErr w:type="spellEnd"/>
            <w:r w:rsidRPr="00ED0CC5">
              <w:rPr>
                <w:rFonts w:ascii="Arial" w:hAnsi="Arial" w:cs="Arial"/>
                <w:sz w:val="18"/>
                <w:szCs w:val="18"/>
              </w:rPr>
              <w:t xml:space="preserve"> and/or nitrates (NR)</w:t>
            </w:r>
          </w:p>
        </w:tc>
        <w:tc>
          <w:tcPr>
            <w:tcW w:w="134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Co-Q10</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03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Placebo</w:t>
            </w:r>
          </w:p>
        </w:tc>
        <w:tc>
          <w:tcPr>
            <w:tcW w:w="51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p>
        </w:tc>
        <w:tc>
          <w:tcPr>
            <w:tcW w:w="68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0</w:t>
            </w:r>
          </w:p>
        </w:tc>
        <w:tc>
          <w:tcPr>
            <w:tcW w:w="119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NR</w:t>
            </w:r>
          </w:p>
        </w:tc>
        <w:tc>
          <w:tcPr>
            <w:tcW w:w="1607"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N/A</w:t>
            </w:r>
          </w:p>
        </w:tc>
        <w:tc>
          <w:tcPr>
            <w:tcW w:w="1300" w:type="dxa"/>
            <w:shd w:val="clear" w:color="D9D9D9" w:fill="auto"/>
            <w:vAlign w:val="center"/>
          </w:tcPr>
          <w:p w:rsidR="00980857" w:rsidRPr="00ED0CC5" w:rsidRDefault="00980857" w:rsidP="00400C74">
            <w:pPr>
              <w:spacing w:after="0"/>
              <w:ind w:firstLine="0"/>
              <w:jc w:val="center"/>
              <w:rPr>
                <w:rFonts w:ascii="Arial" w:hAnsi="Arial" w:cs="Arial"/>
                <w:sz w:val="18"/>
                <w:szCs w:val="18"/>
              </w:rPr>
            </w:pPr>
            <w:r w:rsidRPr="00ED0CC5">
              <w:rPr>
                <w:rFonts w:ascii="Arial" w:hAnsi="Arial" w:cs="Arial"/>
                <w:sz w:val="18"/>
                <w:szCs w:val="18"/>
              </w:rPr>
              <w:t>Medium</w:t>
            </w:r>
          </w:p>
        </w:tc>
      </w:tr>
    </w:tbl>
    <w:p w:rsidR="00400C74" w:rsidRDefault="00400C74" w:rsidP="00FD6FB3">
      <w:pPr>
        <w:rPr>
          <w:rFonts w:ascii="Arial" w:hAnsi="Arial" w:cs="Arial"/>
          <w:sz w:val="18"/>
          <w:szCs w:val="18"/>
        </w:rPr>
      </w:pPr>
    </w:p>
    <w:sectPr w:rsidR="00400C74" w:rsidSect="00D43657">
      <w:pgSz w:w="15840" w:h="12240" w:orient="landscape" w:code="1"/>
      <w:pgMar w:top="1296" w:right="720" w:bottom="1296"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087"/>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91D"/>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3657"/>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D73E5"/>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Pages>
  <Words>415</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2628</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13</cp:revision>
  <cp:lastPrinted>2012-05-23T15:20:00Z</cp:lastPrinted>
  <dcterms:created xsi:type="dcterms:W3CDTF">2012-04-24T04:30:00Z</dcterms:created>
  <dcterms:modified xsi:type="dcterms:W3CDTF">2012-05-26T13:44:00Z</dcterms:modified>
</cp:coreProperties>
</file>