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D60A63">
      <w:pPr>
        <w:pStyle w:val="TableTitle"/>
      </w:pPr>
      <w:proofErr w:type="gramStart"/>
      <w:r>
        <w:t xml:space="preserve">Evidence </w:t>
      </w:r>
      <w:r w:rsidRPr="00E40AE6">
        <w:t>Table</w:t>
      </w:r>
      <w:r w:rsidR="00D60A63">
        <w:t xml:space="preserve"> 112.</w:t>
      </w:r>
      <w:proofErr w:type="gramEnd"/>
      <w:r w:rsidRPr="00E40AE6">
        <w:t xml:space="preserve"> KQ3</w:t>
      </w:r>
      <w:r w:rsidR="00D60A63">
        <w:rPr>
          <w:rFonts w:cs="Arial"/>
        </w:rPr>
        <w:t>—</w:t>
      </w:r>
      <w:r w:rsidRPr="00E40AE6">
        <w:t xml:space="preserve">Dichotomous </w:t>
      </w:r>
      <w:r>
        <w:t>o</w:t>
      </w:r>
      <w:r w:rsidRPr="00E40AE6">
        <w:t>utcomes</w:t>
      </w:r>
      <w:r w:rsidR="00D60A63">
        <w:rPr>
          <w:rFonts w:cs="Arial"/>
        </w:rPr>
        <w:t>—</w:t>
      </w:r>
      <w:r w:rsidRPr="00E40AE6">
        <w:t>Abnormal ECG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A0"/>
      </w:tblPr>
      <w:tblGrid>
        <w:gridCol w:w="1080"/>
        <w:gridCol w:w="1080"/>
        <w:gridCol w:w="1088"/>
        <w:gridCol w:w="1811"/>
        <w:gridCol w:w="1428"/>
        <w:gridCol w:w="537"/>
        <w:gridCol w:w="717"/>
        <w:gridCol w:w="1080"/>
        <w:gridCol w:w="538"/>
        <w:gridCol w:w="808"/>
        <w:gridCol w:w="1264"/>
        <w:gridCol w:w="1737"/>
        <w:gridCol w:w="1348"/>
      </w:tblGrid>
      <w:tr w:rsidR="00980857" w:rsidRPr="00E40AE6" w:rsidTr="00D60A63">
        <w:trPr>
          <w:cantSplit/>
          <w:tblHeader/>
        </w:trPr>
        <w:tc>
          <w:tcPr>
            <w:tcW w:w="375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</w:t>
            </w:r>
            <w:r w:rsidRPr="00E40AE6">
              <w:rPr>
                <w:rFonts w:ascii="Arial" w:hAnsi="Arial" w:cs="Arial"/>
                <w:b/>
                <w:sz w:val="18"/>
                <w:szCs w:val="18"/>
              </w:rPr>
              <w:br/>
              <w:t>Year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375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378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627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495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188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250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375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188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281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438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563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469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D60A63">
        <w:trPr>
          <w:cantSplit/>
        </w:trPr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Reyes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1984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37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62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Hydrochlorothiazide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(50)</w:t>
            </w:r>
          </w:p>
        </w:tc>
        <w:tc>
          <w:tcPr>
            <w:tcW w:w="49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Magnesium</w:t>
            </w:r>
          </w:p>
        </w:tc>
        <w:tc>
          <w:tcPr>
            <w:tcW w:w="18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8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1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Results state only that 'no statistically significant changes affected the electrocardiogram or the plasma variables studied during the trial'.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Methods do not state which electrocardiographic measurements were taken.</w:t>
            </w:r>
          </w:p>
        </w:tc>
        <w:tc>
          <w:tcPr>
            <w:tcW w:w="46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0A63">
        <w:trPr>
          <w:cantSplit/>
        </w:trPr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Playford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58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37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62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Fenofibrate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(200)</w:t>
            </w:r>
          </w:p>
        </w:tc>
        <w:tc>
          <w:tcPr>
            <w:tcW w:w="49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Co-Q10</w:t>
            </w:r>
          </w:p>
        </w:tc>
        <w:tc>
          <w:tcPr>
            <w:tcW w:w="18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1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Low-medium</w:t>
            </w:r>
          </w:p>
        </w:tc>
      </w:tr>
      <w:tr w:rsidR="00980857" w:rsidRPr="00E40AE6" w:rsidTr="00D60A63">
        <w:trPr>
          <w:cantSplit/>
        </w:trPr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Di Spirito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37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62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Atorvastatin (80)</w:t>
            </w:r>
          </w:p>
        </w:tc>
        <w:tc>
          <w:tcPr>
            <w:tcW w:w="49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18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5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81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 related trends regarding ECG or other clinical or laboratory markers were found (no specific data)</w:t>
            </w:r>
          </w:p>
        </w:tc>
        <w:tc>
          <w:tcPr>
            <w:tcW w:w="46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0A63">
        <w:trPr>
          <w:cantSplit/>
        </w:trPr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McKenney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37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62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(80)</w:t>
            </w:r>
          </w:p>
        </w:tc>
        <w:tc>
          <w:tcPr>
            <w:tcW w:w="49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18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5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1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0A63">
        <w:trPr>
          <w:cantSplit/>
        </w:trPr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Kim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2010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37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62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Ticlopidine (250 –single dose)</w:t>
            </w:r>
          </w:p>
        </w:tc>
        <w:tc>
          <w:tcPr>
            <w:tcW w:w="49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Gonkgo Biloba</w:t>
            </w:r>
          </w:p>
        </w:tc>
        <w:tc>
          <w:tcPr>
            <w:tcW w:w="18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5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1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84226F" w:rsidRDefault="0084226F" w:rsidP="0084226F">
      <w:pPr>
        <w:pStyle w:val="ParagraphNoIndent"/>
      </w:pPr>
    </w:p>
    <w:sectPr w:rsidR="0084226F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84A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6F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195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2012-05-25T14:48:00Z</dcterms:modified>
</cp:coreProperties>
</file>