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B7433A">
      <w:pPr>
        <w:pStyle w:val="TableTitle"/>
      </w:pPr>
      <w:r>
        <w:t xml:space="preserve">Evidence </w:t>
      </w:r>
      <w:r w:rsidRPr="006A0910">
        <w:t>Table</w:t>
      </w:r>
      <w:r w:rsidR="00B7433A">
        <w:t xml:space="preserve"> 98.</w:t>
      </w:r>
      <w:r w:rsidRPr="00E40AE6">
        <w:t xml:space="preserve"> KQ 3</w:t>
      </w:r>
      <w:r w:rsidR="00B7433A">
        <w:rPr>
          <w:rFonts w:cs="Arial"/>
        </w:rPr>
        <w:t>—</w:t>
      </w:r>
      <w:r w:rsidRPr="00E40AE6">
        <w:t>Continuous Blood urea nitrogen (BUN)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1016"/>
        <w:gridCol w:w="1136"/>
        <w:gridCol w:w="786"/>
        <w:gridCol w:w="1316"/>
        <w:gridCol w:w="455"/>
        <w:gridCol w:w="1259"/>
        <w:gridCol w:w="1269"/>
        <w:gridCol w:w="1150"/>
        <w:gridCol w:w="1199"/>
        <w:gridCol w:w="1425"/>
        <w:gridCol w:w="1320"/>
      </w:tblGrid>
      <w:tr w:rsidR="00980857" w:rsidRPr="00E40AE6" w:rsidTr="00FD6FB3">
        <w:trPr>
          <w:cantSplit/>
          <w:tblHeader/>
        </w:trPr>
        <w:tc>
          <w:tcPr>
            <w:tcW w:w="890"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Author Year</w:t>
            </w:r>
          </w:p>
          <w:p w:rsidR="00980857" w:rsidRPr="00E40AE6" w:rsidRDefault="00980857" w:rsidP="00B7433A">
            <w:pPr>
              <w:spacing w:after="0"/>
              <w:ind w:firstLine="0"/>
              <w:jc w:val="center"/>
              <w:rPr>
                <w:rFonts w:ascii="Arial" w:hAnsi="Arial" w:cs="Arial"/>
                <w:b/>
                <w:sz w:val="18"/>
                <w:szCs w:val="18"/>
              </w:rPr>
            </w:pP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Study Design</w:t>
            </w:r>
          </w:p>
        </w:tc>
        <w:tc>
          <w:tcPr>
            <w:tcW w:w="1047"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CHD Risk Category</w:t>
            </w:r>
          </w:p>
        </w:tc>
        <w:tc>
          <w:tcPr>
            <w:tcW w:w="1167"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CVD drug</w:t>
            </w:r>
          </w:p>
        </w:tc>
        <w:tc>
          <w:tcPr>
            <w:tcW w:w="819"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CVD</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Dose (mg/d)</w:t>
            </w:r>
          </w:p>
        </w:tc>
        <w:tc>
          <w:tcPr>
            <w:tcW w:w="1347"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Supplement/ Control</w:t>
            </w:r>
          </w:p>
        </w:tc>
        <w:tc>
          <w:tcPr>
            <w:tcW w:w="517"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N</w:t>
            </w:r>
          </w:p>
        </w:tc>
        <w:tc>
          <w:tcPr>
            <w:tcW w:w="1607"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Definition of outcome / Unit of outcome</w:t>
            </w:r>
          </w:p>
        </w:tc>
        <w:tc>
          <w:tcPr>
            <w:tcW w:w="1434"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Post treatment Mean/</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(Median)</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SD/SE</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Lower limit (IQR, 95% CI)</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Upper Limit (IQR, 95% CI)</w:t>
            </w:r>
          </w:p>
        </w:tc>
        <w:tc>
          <w:tcPr>
            <w:tcW w:w="1284"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Mean change/% change from baseline/</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SD/</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P Value</w:t>
            </w:r>
          </w:p>
        </w:tc>
        <w:tc>
          <w:tcPr>
            <w:tcW w:w="1234"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Between group differences in Means/ medians</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SD/</w:t>
            </w:r>
          </w:p>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P Value</w:t>
            </w:r>
          </w:p>
        </w:tc>
        <w:tc>
          <w:tcPr>
            <w:tcW w:w="1879"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Additional Comments</w:t>
            </w:r>
          </w:p>
        </w:tc>
        <w:tc>
          <w:tcPr>
            <w:tcW w:w="1391" w:type="dxa"/>
            <w:shd w:val="pct10" w:color="auto" w:fill="auto"/>
            <w:vAlign w:val="center"/>
          </w:tcPr>
          <w:p w:rsidR="00980857" w:rsidRPr="00E40AE6" w:rsidRDefault="00980857" w:rsidP="00B7433A">
            <w:pPr>
              <w:spacing w:after="0"/>
              <w:ind w:firstLine="0"/>
              <w:jc w:val="center"/>
              <w:rPr>
                <w:rFonts w:ascii="Arial" w:hAnsi="Arial" w:cs="Arial"/>
                <w:b/>
                <w:sz w:val="18"/>
                <w:szCs w:val="18"/>
              </w:rPr>
            </w:pPr>
            <w:r w:rsidRPr="00E40AE6">
              <w:rPr>
                <w:rFonts w:ascii="Arial" w:hAnsi="Arial" w:cs="Arial"/>
                <w:b/>
                <w:sz w:val="18"/>
                <w:szCs w:val="18"/>
              </w:rPr>
              <w:t>Overall Risk of Bias (ROB) Assessment</w:t>
            </w:r>
          </w:p>
        </w:tc>
      </w:tr>
      <w:tr w:rsidR="00980857" w:rsidRPr="00E40AE6" w:rsidTr="00FD6FB3">
        <w:trPr>
          <w:cantSplit/>
          <w:tblHeader/>
        </w:trPr>
        <w:tc>
          <w:tcPr>
            <w:tcW w:w="890"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Lee</w:t>
            </w:r>
            <w:r w:rsidRPr="00E40AE6">
              <w:rPr>
                <w:rFonts w:ascii="Arial" w:hAnsi="Arial" w:cs="Arial"/>
                <w:sz w:val="18"/>
                <w:szCs w:val="18"/>
              </w:rPr>
              <w:br/>
              <w:t>2008</w:t>
            </w:r>
            <w:r w:rsidRPr="00F57E4E">
              <w:rPr>
                <w:rFonts w:ascii="Arial" w:hAnsi="Arial" w:cs="Arial"/>
                <w:noProof/>
                <w:sz w:val="18"/>
                <w:szCs w:val="18"/>
                <w:vertAlign w:val="superscript"/>
              </w:rPr>
              <w:t>36</w:t>
            </w: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Parallel</w:t>
            </w:r>
          </w:p>
        </w:tc>
        <w:tc>
          <w:tcPr>
            <w:tcW w:w="104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At high risk for CHD</w:t>
            </w:r>
          </w:p>
        </w:tc>
        <w:tc>
          <w:tcPr>
            <w:tcW w:w="116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Warfarin</w:t>
            </w:r>
          </w:p>
        </w:tc>
        <w:tc>
          <w:tcPr>
            <w:tcW w:w="819"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3.5</w:t>
            </w:r>
          </w:p>
        </w:tc>
        <w:tc>
          <w:tcPr>
            <w:tcW w:w="134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Ginseng</w:t>
            </w:r>
          </w:p>
        </w:tc>
        <w:tc>
          <w:tcPr>
            <w:tcW w:w="51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12</w:t>
            </w:r>
          </w:p>
        </w:tc>
        <w:tc>
          <w:tcPr>
            <w:tcW w:w="160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B7433A">
            <w:pPr>
              <w:spacing w:after="0"/>
              <w:ind w:firstLine="0"/>
              <w:jc w:val="center"/>
              <w:rPr>
                <w:rFonts w:ascii="Arial" w:hAnsi="Arial" w:cs="Arial"/>
                <w:sz w:val="18"/>
                <w:szCs w:val="18"/>
              </w:rPr>
            </w:pP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Unit: mg/dl</w:t>
            </w:r>
          </w:p>
        </w:tc>
        <w:tc>
          <w:tcPr>
            <w:tcW w:w="143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Mean:9.45</w:t>
            </w: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SD: 5.16</w:t>
            </w:r>
          </w:p>
        </w:tc>
        <w:tc>
          <w:tcPr>
            <w:tcW w:w="128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Mean:-2.28</w:t>
            </w:r>
          </w:p>
        </w:tc>
        <w:tc>
          <w:tcPr>
            <w:tcW w:w="1234"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879"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There were no statistically significant differences between the two groups.</w:t>
            </w:r>
          </w:p>
        </w:tc>
        <w:tc>
          <w:tcPr>
            <w:tcW w:w="1391"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N/A</w:t>
            </w:r>
          </w:p>
        </w:tc>
      </w:tr>
      <w:tr w:rsidR="00980857" w:rsidRPr="00E40AE6" w:rsidTr="00FD6FB3">
        <w:trPr>
          <w:cantSplit/>
          <w:trHeight w:val="530"/>
          <w:tblHeader/>
        </w:trPr>
        <w:tc>
          <w:tcPr>
            <w:tcW w:w="890" w:type="dxa"/>
            <w:vMerge/>
            <w:vAlign w:val="center"/>
          </w:tcPr>
          <w:p w:rsidR="00980857" w:rsidRPr="00E40AE6" w:rsidRDefault="00980857" w:rsidP="00B7433A">
            <w:pPr>
              <w:spacing w:after="0"/>
              <w:ind w:firstLine="0"/>
              <w:jc w:val="center"/>
              <w:rPr>
                <w:rFonts w:ascii="Arial" w:hAnsi="Arial" w:cs="Arial"/>
                <w:sz w:val="18"/>
                <w:szCs w:val="18"/>
              </w:rPr>
            </w:pPr>
          </w:p>
        </w:tc>
        <w:tc>
          <w:tcPr>
            <w:tcW w:w="1047" w:type="dxa"/>
            <w:vMerge/>
            <w:vAlign w:val="center"/>
          </w:tcPr>
          <w:p w:rsidR="00980857" w:rsidRPr="00E40AE6" w:rsidRDefault="00980857" w:rsidP="00B7433A">
            <w:pPr>
              <w:spacing w:after="0"/>
              <w:ind w:firstLine="0"/>
              <w:jc w:val="center"/>
              <w:rPr>
                <w:rFonts w:ascii="Arial" w:hAnsi="Arial" w:cs="Arial"/>
                <w:sz w:val="18"/>
                <w:szCs w:val="18"/>
              </w:rPr>
            </w:pPr>
          </w:p>
        </w:tc>
        <w:tc>
          <w:tcPr>
            <w:tcW w:w="1167" w:type="dxa"/>
            <w:vMerge/>
            <w:vAlign w:val="center"/>
          </w:tcPr>
          <w:p w:rsidR="00980857" w:rsidRPr="00E40AE6" w:rsidRDefault="00980857" w:rsidP="00B7433A">
            <w:pPr>
              <w:spacing w:after="0"/>
              <w:ind w:firstLine="0"/>
              <w:jc w:val="center"/>
              <w:rPr>
                <w:rFonts w:ascii="Arial" w:hAnsi="Arial" w:cs="Arial"/>
                <w:sz w:val="18"/>
                <w:szCs w:val="18"/>
              </w:rPr>
            </w:pPr>
          </w:p>
        </w:tc>
        <w:tc>
          <w:tcPr>
            <w:tcW w:w="819" w:type="dxa"/>
            <w:vMerge/>
            <w:vAlign w:val="center"/>
          </w:tcPr>
          <w:p w:rsidR="00980857" w:rsidRPr="00E40AE6" w:rsidRDefault="00980857" w:rsidP="00B7433A">
            <w:pPr>
              <w:spacing w:after="0"/>
              <w:ind w:firstLine="0"/>
              <w:jc w:val="center"/>
              <w:rPr>
                <w:rFonts w:ascii="Arial" w:hAnsi="Arial" w:cs="Arial"/>
                <w:sz w:val="18"/>
                <w:szCs w:val="18"/>
              </w:rPr>
            </w:pPr>
          </w:p>
        </w:tc>
        <w:tc>
          <w:tcPr>
            <w:tcW w:w="134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No Treatment</w:t>
            </w:r>
          </w:p>
        </w:tc>
        <w:tc>
          <w:tcPr>
            <w:tcW w:w="51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13</w:t>
            </w:r>
          </w:p>
        </w:tc>
        <w:tc>
          <w:tcPr>
            <w:tcW w:w="1607" w:type="dxa"/>
            <w:vMerge/>
            <w:vAlign w:val="center"/>
          </w:tcPr>
          <w:p w:rsidR="00980857" w:rsidRPr="00E40AE6" w:rsidRDefault="00980857" w:rsidP="00B7433A">
            <w:pPr>
              <w:spacing w:after="0"/>
              <w:ind w:firstLine="0"/>
              <w:jc w:val="center"/>
              <w:rPr>
                <w:rFonts w:ascii="Arial" w:hAnsi="Arial" w:cs="Arial"/>
                <w:sz w:val="18"/>
                <w:szCs w:val="18"/>
              </w:rPr>
            </w:pPr>
          </w:p>
        </w:tc>
        <w:tc>
          <w:tcPr>
            <w:tcW w:w="143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Mean:13.46</w:t>
            </w: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SD: 4.44</w:t>
            </w:r>
          </w:p>
        </w:tc>
        <w:tc>
          <w:tcPr>
            <w:tcW w:w="128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Mean:0.46</w:t>
            </w:r>
          </w:p>
        </w:tc>
        <w:tc>
          <w:tcPr>
            <w:tcW w:w="1234" w:type="dxa"/>
            <w:vMerge/>
            <w:vAlign w:val="center"/>
          </w:tcPr>
          <w:p w:rsidR="00980857" w:rsidRPr="00E40AE6" w:rsidRDefault="00980857" w:rsidP="00B7433A">
            <w:pPr>
              <w:spacing w:after="0"/>
              <w:ind w:firstLine="0"/>
              <w:jc w:val="center"/>
              <w:rPr>
                <w:rFonts w:ascii="Arial" w:hAnsi="Arial" w:cs="Arial"/>
                <w:sz w:val="18"/>
                <w:szCs w:val="18"/>
              </w:rPr>
            </w:pPr>
          </w:p>
        </w:tc>
        <w:tc>
          <w:tcPr>
            <w:tcW w:w="1879" w:type="dxa"/>
            <w:vMerge/>
            <w:vAlign w:val="center"/>
          </w:tcPr>
          <w:p w:rsidR="00980857" w:rsidRPr="00E40AE6" w:rsidRDefault="00980857" w:rsidP="00B7433A">
            <w:pPr>
              <w:spacing w:after="0"/>
              <w:ind w:firstLine="0"/>
              <w:jc w:val="center"/>
              <w:rPr>
                <w:rFonts w:ascii="Arial" w:hAnsi="Arial" w:cs="Arial"/>
                <w:sz w:val="18"/>
                <w:szCs w:val="18"/>
              </w:rPr>
            </w:pPr>
          </w:p>
        </w:tc>
        <w:tc>
          <w:tcPr>
            <w:tcW w:w="1391" w:type="dxa"/>
            <w:vMerge/>
            <w:vAlign w:val="center"/>
          </w:tcPr>
          <w:p w:rsidR="00980857" w:rsidRPr="00E40AE6" w:rsidRDefault="00980857" w:rsidP="00B7433A">
            <w:pPr>
              <w:spacing w:after="0"/>
              <w:ind w:firstLine="0"/>
              <w:jc w:val="center"/>
              <w:rPr>
                <w:rFonts w:ascii="Arial" w:hAnsi="Arial" w:cs="Arial"/>
                <w:sz w:val="18"/>
                <w:szCs w:val="18"/>
              </w:rPr>
            </w:pPr>
          </w:p>
        </w:tc>
      </w:tr>
      <w:tr w:rsidR="00980857" w:rsidRPr="00E40AE6" w:rsidTr="00FD6FB3">
        <w:trPr>
          <w:cantSplit/>
          <w:trHeight w:val="1493"/>
          <w:tblHeader/>
        </w:trPr>
        <w:tc>
          <w:tcPr>
            <w:tcW w:w="890"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Napoli</w:t>
            </w:r>
            <w:r w:rsidRPr="00E40AE6">
              <w:rPr>
                <w:rFonts w:ascii="Arial" w:hAnsi="Arial" w:cs="Arial"/>
                <w:sz w:val="18"/>
                <w:szCs w:val="18"/>
              </w:rPr>
              <w:br/>
              <w:t>1998</w:t>
            </w:r>
            <w:r w:rsidRPr="00F57E4E">
              <w:rPr>
                <w:rFonts w:ascii="Arial" w:hAnsi="Arial" w:cs="Arial"/>
                <w:noProof/>
                <w:sz w:val="18"/>
                <w:szCs w:val="18"/>
                <w:vertAlign w:val="superscript"/>
              </w:rPr>
              <w:t>52</w:t>
            </w: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Parallel</w:t>
            </w:r>
          </w:p>
        </w:tc>
        <w:tc>
          <w:tcPr>
            <w:tcW w:w="104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Unclear</w:t>
            </w:r>
          </w:p>
        </w:tc>
        <w:tc>
          <w:tcPr>
            <w:tcW w:w="116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Pravastatin</w:t>
            </w:r>
          </w:p>
        </w:tc>
        <w:tc>
          <w:tcPr>
            <w:tcW w:w="819"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20-40</w:t>
            </w:r>
          </w:p>
        </w:tc>
        <w:tc>
          <w:tcPr>
            <w:tcW w:w="134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Vitamin E</w:t>
            </w:r>
          </w:p>
        </w:tc>
        <w:tc>
          <w:tcPr>
            <w:tcW w:w="517" w:type="dxa"/>
            <w:vAlign w:val="center"/>
          </w:tcPr>
          <w:p w:rsidR="00980857" w:rsidRPr="00E40AE6" w:rsidRDefault="00980857" w:rsidP="00B7433A">
            <w:pPr>
              <w:spacing w:after="0"/>
              <w:ind w:firstLine="0"/>
              <w:jc w:val="center"/>
              <w:rPr>
                <w:rFonts w:ascii="Arial" w:hAnsi="Arial" w:cs="Arial"/>
                <w:sz w:val="18"/>
                <w:szCs w:val="18"/>
              </w:rPr>
            </w:pPr>
          </w:p>
        </w:tc>
        <w:tc>
          <w:tcPr>
            <w:tcW w:w="1607"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B7433A">
            <w:pPr>
              <w:spacing w:after="0"/>
              <w:ind w:firstLine="0"/>
              <w:jc w:val="center"/>
              <w:rPr>
                <w:rFonts w:ascii="Arial" w:hAnsi="Arial" w:cs="Arial"/>
                <w:sz w:val="18"/>
                <w:szCs w:val="18"/>
              </w:rPr>
            </w:pPr>
          </w:p>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Unit: NR</w:t>
            </w:r>
          </w:p>
        </w:tc>
        <w:tc>
          <w:tcPr>
            <w:tcW w:w="143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28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234"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879"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391" w:type="dxa"/>
            <w:vMerge w:val="restart"/>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Medium</w:t>
            </w:r>
          </w:p>
        </w:tc>
      </w:tr>
      <w:tr w:rsidR="00980857" w:rsidRPr="00E40AE6" w:rsidTr="00FD6FB3">
        <w:trPr>
          <w:cantSplit/>
          <w:tblHeader/>
        </w:trPr>
        <w:tc>
          <w:tcPr>
            <w:tcW w:w="890" w:type="dxa"/>
            <w:vMerge/>
            <w:vAlign w:val="center"/>
          </w:tcPr>
          <w:p w:rsidR="00980857" w:rsidRPr="00E40AE6" w:rsidRDefault="00980857" w:rsidP="00B7433A">
            <w:pPr>
              <w:spacing w:after="0"/>
              <w:ind w:firstLine="0"/>
              <w:jc w:val="center"/>
              <w:rPr>
                <w:rFonts w:ascii="Arial" w:hAnsi="Arial" w:cs="Arial"/>
                <w:sz w:val="18"/>
                <w:szCs w:val="18"/>
              </w:rPr>
            </w:pPr>
          </w:p>
        </w:tc>
        <w:tc>
          <w:tcPr>
            <w:tcW w:w="1047" w:type="dxa"/>
            <w:vMerge/>
            <w:vAlign w:val="center"/>
          </w:tcPr>
          <w:p w:rsidR="00980857" w:rsidRPr="00E40AE6" w:rsidRDefault="00980857" w:rsidP="00B7433A">
            <w:pPr>
              <w:spacing w:after="0"/>
              <w:ind w:firstLine="0"/>
              <w:jc w:val="center"/>
              <w:rPr>
                <w:rFonts w:ascii="Arial" w:hAnsi="Arial" w:cs="Arial"/>
                <w:sz w:val="18"/>
                <w:szCs w:val="18"/>
              </w:rPr>
            </w:pPr>
          </w:p>
        </w:tc>
        <w:tc>
          <w:tcPr>
            <w:tcW w:w="1167" w:type="dxa"/>
            <w:vMerge/>
            <w:vAlign w:val="center"/>
          </w:tcPr>
          <w:p w:rsidR="00980857" w:rsidRPr="00E40AE6" w:rsidRDefault="00980857" w:rsidP="00B7433A">
            <w:pPr>
              <w:spacing w:after="0"/>
              <w:ind w:firstLine="0"/>
              <w:jc w:val="center"/>
              <w:rPr>
                <w:rFonts w:ascii="Arial" w:hAnsi="Arial" w:cs="Arial"/>
                <w:sz w:val="18"/>
                <w:szCs w:val="18"/>
              </w:rPr>
            </w:pPr>
          </w:p>
        </w:tc>
        <w:tc>
          <w:tcPr>
            <w:tcW w:w="819" w:type="dxa"/>
            <w:vMerge/>
            <w:vAlign w:val="center"/>
          </w:tcPr>
          <w:p w:rsidR="00980857" w:rsidRPr="00E40AE6" w:rsidRDefault="00980857" w:rsidP="00B7433A">
            <w:pPr>
              <w:spacing w:after="0"/>
              <w:ind w:firstLine="0"/>
              <w:jc w:val="center"/>
              <w:rPr>
                <w:rFonts w:ascii="Arial" w:hAnsi="Arial" w:cs="Arial"/>
                <w:sz w:val="18"/>
                <w:szCs w:val="18"/>
              </w:rPr>
            </w:pPr>
          </w:p>
        </w:tc>
        <w:tc>
          <w:tcPr>
            <w:tcW w:w="1347"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No Treatment</w:t>
            </w:r>
          </w:p>
        </w:tc>
        <w:tc>
          <w:tcPr>
            <w:tcW w:w="517" w:type="dxa"/>
            <w:vAlign w:val="center"/>
          </w:tcPr>
          <w:p w:rsidR="00980857" w:rsidRPr="00E40AE6" w:rsidRDefault="00980857" w:rsidP="00B7433A">
            <w:pPr>
              <w:spacing w:after="0"/>
              <w:ind w:firstLine="0"/>
              <w:jc w:val="center"/>
              <w:rPr>
                <w:rFonts w:ascii="Arial" w:hAnsi="Arial" w:cs="Arial"/>
                <w:sz w:val="18"/>
                <w:szCs w:val="18"/>
              </w:rPr>
            </w:pPr>
          </w:p>
        </w:tc>
        <w:tc>
          <w:tcPr>
            <w:tcW w:w="1607" w:type="dxa"/>
            <w:vMerge/>
            <w:vAlign w:val="center"/>
          </w:tcPr>
          <w:p w:rsidR="00980857" w:rsidRPr="00E40AE6" w:rsidRDefault="00980857" w:rsidP="00B7433A">
            <w:pPr>
              <w:spacing w:after="0"/>
              <w:ind w:firstLine="0"/>
              <w:jc w:val="center"/>
              <w:rPr>
                <w:rFonts w:ascii="Arial" w:hAnsi="Arial" w:cs="Arial"/>
                <w:sz w:val="18"/>
                <w:szCs w:val="18"/>
              </w:rPr>
            </w:pPr>
          </w:p>
        </w:tc>
        <w:tc>
          <w:tcPr>
            <w:tcW w:w="143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284" w:type="dxa"/>
            <w:vAlign w:val="center"/>
          </w:tcPr>
          <w:p w:rsidR="00980857" w:rsidRPr="00E40AE6" w:rsidRDefault="00980857" w:rsidP="00B7433A">
            <w:pPr>
              <w:spacing w:after="0"/>
              <w:ind w:firstLine="0"/>
              <w:jc w:val="center"/>
              <w:rPr>
                <w:rFonts w:ascii="Arial" w:hAnsi="Arial" w:cs="Arial"/>
                <w:sz w:val="18"/>
                <w:szCs w:val="18"/>
              </w:rPr>
            </w:pPr>
            <w:r w:rsidRPr="00E40AE6">
              <w:rPr>
                <w:rFonts w:ascii="Arial" w:hAnsi="Arial" w:cs="Arial"/>
                <w:sz w:val="18"/>
                <w:szCs w:val="18"/>
              </w:rPr>
              <w:t>NR</w:t>
            </w:r>
          </w:p>
        </w:tc>
        <w:tc>
          <w:tcPr>
            <w:tcW w:w="1234" w:type="dxa"/>
            <w:vMerge/>
            <w:vAlign w:val="center"/>
          </w:tcPr>
          <w:p w:rsidR="00980857" w:rsidRPr="00E40AE6" w:rsidRDefault="00980857" w:rsidP="00B7433A">
            <w:pPr>
              <w:spacing w:after="0"/>
              <w:ind w:firstLine="0"/>
              <w:jc w:val="center"/>
              <w:rPr>
                <w:rFonts w:ascii="Arial" w:hAnsi="Arial" w:cs="Arial"/>
                <w:sz w:val="18"/>
                <w:szCs w:val="18"/>
              </w:rPr>
            </w:pPr>
          </w:p>
        </w:tc>
        <w:tc>
          <w:tcPr>
            <w:tcW w:w="1879" w:type="dxa"/>
            <w:vMerge/>
            <w:vAlign w:val="center"/>
          </w:tcPr>
          <w:p w:rsidR="00980857" w:rsidRPr="00E40AE6" w:rsidRDefault="00980857" w:rsidP="00B7433A">
            <w:pPr>
              <w:spacing w:after="0"/>
              <w:ind w:firstLine="0"/>
              <w:jc w:val="center"/>
              <w:rPr>
                <w:rFonts w:ascii="Arial" w:hAnsi="Arial" w:cs="Arial"/>
                <w:sz w:val="18"/>
                <w:szCs w:val="18"/>
              </w:rPr>
            </w:pPr>
          </w:p>
        </w:tc>
        <w:tc>
          <w:tcPr>
            <w:tcW w:w="1391" w:type="dxa"/>
            <w:vMerge/>
            <w:vAlign w:val="center"/>
          </w:tcPr>
          <w:p w:rsidR="00980857" w:rsidRPr="00E40AE6" w:rsidRDefault="00980857" w:rsidP="00B7433A">
            <w:pPr>
              <w:spacing w:after="0"/>
              <w:ind w:firstLine="0"/>
              <w:jc w:val="center"/>
              <w:rPr>
                <w:rFonts w:ascii="Arial" w:hAnsi="Arial" w:cs="Arial"/>
                <w:sz w:val="18"/>
                <w:szCs w:val="18"/>
              </w:rPr>
            </w:pPr>
          </w:p>
        </w:tc>
      </w:tr>
    </w:tbl>
    <w:p w:rsidR="00F44852" w:rsidRDefault="00F44852" w:rsidP="00FD6FB3">
      <w:pPr>
        <w:rPr>
          <w:rFonts w:ascii="Arial" w:hAnsi="Arial" w:cs="Arial"/>
          <w:sz w:val="18"/>
          <w:szCs w:val="18"/>
        </w:rPr>
      </w:pPr>
    </w:p>
    <w:sectPr w:rsidR="00F44852" w:rsidSect="00F44852">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97FD4"/>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852"/>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169</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1087</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2012-05-25T14:21:00Z</dcterms:modified>
</cp:coreProperties>
</file>