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5B0EBD">
      <w:pPr>
        <w:pStyle w:val="TableTitle"/>
      </w:pPr>
      <w:r>
        <w:t xml:space="preserve">Evidence </w:t>
      </w:r>
      <w:r w:rsidRPr="00E40AE6">
        <w:t xml:space="preserve">Table </w:t>
      </w:r>
      <w:r w:rsidR="005B0EBD">
        <w:t xml:space="preserve">95. </w:t>
      </w:r>
      <w:r w:rsidRPr="00E40AE6">
        <w:t>KQ3</w:t>
      </w:r>
      <w:r w:rsidR="005B0EBD">
        <w:rPr>
          <w:rFonts w:cs="Arial"/>
        </w:rPr>
        <w:t>—</w:t>
      </w:r>
      <w:r w:rsidRPr="00E40AE6">
        <w:t>Continuous</w:t>
      </w:r>
      <w:r w:rsidR="005B0EBD">
        <w:rPr>
          <w:rFonts w:cs="Arial"/>
        </w:rPr>
        <w:t>—A</w:t>
      </w:r>
      <w:r w:rsidRPr="00E40AE6">
        <w:t xml:space="preserve">lkaline </w:t>
      </w:r>
      <w:r>
        <w:t>p</w:t>
      </w:r>
      <w:r w:rsidRPr="00E40AE6">
        <w:t>hosphatase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
        <w:gridCol w:w="1013"/>
        <w:gridCol w:w="1167"/>
        <w:gridCol w:w="783"/>
        <w:gridCol w:w="1313"/>
        <w:gridCol w:w="450"/>
        <w:gridCol w:w="1225"/>
        <w:gridCol w:w="1212"/>
        <w:gridCol w:w="1081"/>
        <w:gridCol w:w="1196"/>
        <w:gridCol w:w="1383"/>
        <w:gridCol w:w="1315"/>
      </w:tblGrid>
      <w:tr w:rsidR="00980857" w:rsidRPr="005B0EBD" w:rsidTr="005B0EBD">
        <w:trPr>
          <w:cantSplit/>
          <w:tblHeader/>
        </w:trPr>
        <w:tc>
          <w:tcPr>
            <w:tcW w:w="1038"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Author Year</w:t>
            </w:r>
          </w:p>
          <w:p w:rsidR="00980857" w:rsidRPr="005B0EBD" w:rsidRDefault="00980857" w:rsidP="005B0EBD">
            <w:pPr>
              <w:spacing w:after="0"/>
              <w:ind w:firstLine="0"/>
              <w:jc w:val="center"/>
              <w:rPr>
                <w:rFonts w:ascii="Arial" w:hAnsi="Arial" w:cs="Arial"/>
                <w:b/>
                <w:sz w:val="18"/>
                <w:szCs w:val="18"/>
              </w:rPr>
            </w:pP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Study Design</w:t>
            </w:r>
          </w:p>
        </w:tc>
        <w:tc>
          <w:tcPr>
            <w:tcW w:w="1013"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CHD Risk Category</w:t>
            </w:r>
          </w:p>
        </w:tc>
        <w:tc>
          <w:tcPr>
            <w:tcW w:w="1167"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CVD drug</w:t>
            </w:r>
          </w:p>
        </w:tc>
        <w:tc>
          <w:tcPr>
            <w:tcW w:w="783"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CVD</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Dose (mg/d)</w:t>
            </w:r>
          </w:p>
        </w:tc>
        <w:tc>
          <w:tcPr>
            <w:tcW w:w="1313"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Supplement/ Control</w:t>
            </w:r>
          </w:p>
        </w:tc>
        <w:tc>
          <w:tcPr>
            <w:tcW w:w="450"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N</w:t>
            </w:r>
          </w:p>
        </w:tc>
        <w:tc>
          <w:tcPr>
            <w:tcW w:w="1225"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Definition of outcome/ Unit of outcome</w:t>
            </w:r>
          </w:p>
        </w:tc>
        <w:tc>
          <w:tcPr>
            <w:tcW w:w="1212"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Post treatment Mean/</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(Median)</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SD/SE</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Lower limit (IQR, 95% CI)</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Upper Limit (IQR, 95% CI)</w:t>
            </w:r>
          </w:p>
        </w:tc>
        <w:tc>
          <w:tcPr>
            <w:tcW w:w="1081"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Mean change/ % change from baseline/</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SD/</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P Value</w:t>
            </w:r>
          </w:p>
        </w:tc>
        <w:tc>
          <w:tcPr>
            <w:tcW w:w="1196"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Between group differences in Means/ medians</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SD/</w:t>
            </w:r>
          </w:p>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P Value</w:t>
            </w:r>
          </w:p>
        </w:tc>
        <w:tc>
          <w:tcPr>
            <w:tcW w:w="1383"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Additional Comments</w:t>
            </w:r>
          </w:p>
        </w:tc>
        <w:tc>
          <w:tcPr>
            <w:tcW w:w="1315" w:type="dxa"/>
            <w:shd w:val="pct10" w:color="auto" w:fill="auto"/>
            <w:vAlign w:val="center"/>
          </w:tcPr>
          <w:p w:rsidR="00980857" w:rsidRPr="005B0EBD" w:rsidRDefault="00980857" w:rsidP="005B0EBD">
            <w:pPr>
              <w:spacing w:after="0"/>
              <w:ind w:firstLine="0"/>
              <w:jc w:val="center"/>
              <w:rPr>
                <w:rFonts w:ascii="Arial" w:hAnsi="Arial" w:cs="Arial"/>
                <w:b/>
                <w:sz w:val="18"/>
                <w:szCs w:val="18"/>
              </w:rPr>
            </w:pPr>
            <w:r w:rsidRPr="005B0EBD">
              <w:rPr>
                <w:rFonts w:ascii="Arial" w:hAnsi="Arial" w:cs="Arial"/>
                <w:b/>
                <w:sz w:val="18"/>
                <w:szCs w:val="18"/>
              </w:rPr>
              <w:t>Overall Risk of Bias (ROB) Assessment</w:t>
            </w:r>
          </w:p>
        </w:tc>
      </w:tr>
      <w:tr w:rsidR="00980857" w:rsidRPr="005B0EBD" w:rsidTr="005B0EBD">
        <w:trPr>
          <w:cantSplit/>
        </w:trPr>
        <w:tc>
          <w:tcPr>
            <w:tcW w:w="1038"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Mabuchi</w:t>
            </w:r>
            <w:r w:rsidRPr="005B0EBD">
              <w:rPr>
                <w:rFonts w:ascii="Arial" w:hAnsi="Arial" w:cs="Arial"/>
                <w:sz w:val="18"/>
                <w:szCs w:val="18"/>
              </w:rPr>
              <w:br/>
              <w:t>2007</w:t>
            </w:r>
            <w:r w:rsidRPr="005B0EBD">
              <w:rPr>
                <w:rFonts w:ascii="Arial" w:hAnsi="Arial" w:cs="Arial"/>
                <w:noProof/>
                <w:sz w:val="18"/>
                <w:szCs w:val="18"/>
                <w:vertAlign w:val="superscript"/>
              </w:rPr>
              <w:t>39</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Parallel</w:t>
            </w:r>
          </w:p>
        </w:tc>
        <w:tc>
          <w:tcPr>
            <w:tcW w:w="101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Unclear</w:t>
            </w:r>
          </w:p>
        </w:tc>
        <w:tc>
          <w:tcPr>
            <w:tcW w:w="1167"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Atorvastatin</w:t>
            </w:r>
          </w:p>
        </w:tc>
        <w:tc>
          <w:tcPr>
            <w:tcW w:w="7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10</w:t>
            </w: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Co Q10</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24</w:t>
            </w:r>
          </w:p>
        </w:tc>
        <w:tc>
          <w:tcPr>
            <w:tcW w:w="122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p w:rsidR="00980857" w:rsidRPr="005B0EBD" w:rsidRDefault="00980857" w:rsidP="005B0EBD">
            <w:pPr>
              <w:spacing w:after="0"/>
              <w:ind w:firstLine="0"/>
              <w:jc w:val="center"/>
              <w:rPr>
                <w:rFonts w:ascii="Arial" w:hAnsi="Arial" w:cs="Arial"/>
                <w:sz w:val="18"/>
                <w:szCs w:val="18"/>
              </w:rPr>
            </w:pP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Unit: IU/L</w:t>
            </w: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 256</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SD: 76</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 0.3409</w:t>
            </w:r>
          </w:p>
        </w:tc>
        <w:tc>
          <w:tcPr>
            <w:tcW w:w="13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There's no significant differences between groups (p=0.5943).</w:t>
            </w:r>
          </w:p>
        </w:tc>
        <w:tc>
          <w:tcPr>
            <w:tcW w:w="131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Medium</w:t>
            </w: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Placebo</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25</w:t>
            </w: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Mean:235</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SD: 58</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r w:rsidR="00980857" w:rsidRPr="005B0EBD" w:rsidTr="005B0EBD">
        <w:trPr>
          <w:cantSplit/>
        </w:trPr>
        <w:tc>
          <w:tcPr>
            <w:tcW w:w="1038"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Playford</w:t>
            </w:r>
            <w:r w:rsidRPr="005B0EBD">
              <w:rPr>
                <w:rFonts w:ascii="Arial" w:hAnsi="Arial" w:cs="Arial"/>
                <w:sz w:val="18"/>
                <w:szCs w:val="18"/>
              </w:rPr>
              <w:br/>
              <w:t>2003</w:t>
            </w:r>
            <w:r w:rsidRPr="005B0EBD">
              <w:rPr>
                <w:rFonts w:ascii="Arial" w:hAnsi="Arial" w:cs="Arial"/>
                <w:noProof/>
                <w:sz w:val="18"/>
                <w:szCs w:val="18"/>
                <w:vertAlign w:val="superscript"/>
              </w:rPr>
              <w:t>58</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Parallel</w:t>
            </w:r>
          </w:p>
        </w:tc>
        <w:tc>
          <w:tcPr>
            <w:tcW w:w="101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At high risk for CHD</w:t>
            </w:r>
          </w:p>
        </w:tc>
        <w:tc>
          <w:tcPr>
            <w:tcW w:w="1167"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Fenofibrate</w:t>
            </w:r>
          </w:p>
        </w:tc>
        <w:tc>
          <w:tcPr>
            <w:tcW w:w="7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200</w:t>
            </w: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Co Q10 + Fenofibrate</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18</w:t>
            </w:r>
          </w:p>
        </w:tc>
        <w:tc>
          <w:tcPr>
            <w:tcW w:w="122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p w:rsidR="00980857" w:rsidRPr="005B0EBD" w:rsidRDefault="00980857" w:rsidP="005B0EBD">
            <w:pPr>
              <w:spacing w:after="0"/>
              <w:ind w:firstLine="0"/>
              <w:jc w:val="center"/>
              <w:rPr>
                <w:rFonts w:ascii="Arial" w:hAnsi="Arial" w:cs="Arial"/>
                <w:sz w:val="18"/>
                <w:szCs w:val="18"/>
              </w:rPr>
            </w:pP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Unit: U/L</w:t>
            </w: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 52.5</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Lower: 44.0</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Upper: 62.6</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3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N/A</w:t>
            </w:r>
          </w:p>
        </w:tc>
        <w:tc>
          <w:tcPr>
            <w:tcW w:w="131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Low-medium</w:t>
            </w: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No Treatment</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17</w:t>
            </w: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Mean:58.5</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Lower: 52.7</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Upper:65.1</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CoQ 10</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20</w:t>
            </w: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Placebo</w:t>
            </w:r>
          </w:p>
        </w:tc>
        <w:tc>
          <w:tcPr>
            <w:tcW w:w="45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18</w:t>
            </w: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bl>
    <w:p w:rsidR="005B0EBD" w:rsidRDefault="005B0EBD">
      <w:pPr>
        <w:spacing w:after="0"/>
        <w:ind w:firstLin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
        <w:gridCol w:w="1013"/>
        <w:gridCol w:w="1154"/>
        <w:gridCol w:w="13"/>
        <w:gridCol w:w="783"/>
        <w:gridCol w:w="1313"/>
        <w:gridCol w:w="434"/>
        <w:gridCol w:w="16"/>
        <w:gridCol w:w="1225"/>
        <w:gridCol w:w="1200"/>
        <w:gridCol w:w="12"/>
        <w:gridCol w:w="1071"/>
        <w:gridCol w:w="10"/>
        <w:gridCol w:w="1176"/>
        <w:gridCol w:w="20"/>
        <w:gridCol w:w="1383"/>
        <w:gridCol w:w="1315"/>
      </w:tblGrid>
      <w:tr w:rsidR="005B0EBD" w:rsidRPr="005B0EBD" w:rsidTr="005B0EBD">
        <w:trPr>
          <w:cantSplit/>
          <w:tblHeader/>
        </w:trPr>
        <w:tc>
          <w:tcPr>
            <w:tcW w:w="13176" w:type="dxa"/>
            <w:gridSpan w:val="17"/>
            <w:tcBorders>
              <w:top w:val="nil"/>
              <w:left w:val="nil"/>
              <w:right w:val="nil"/>
            </w:tcBorders>
            <w:shd w:val="clear" w:color="auto" w:fill="auto"/>
            <w:vAlign w:val="center"/>
          </w:tcPr>
          <w:p w:rsidR="005B0EBD" w:rsidRPr="005B0EBD" w:rsidRDefault="005B0EBD" w:rsidP="005B0EBD">
            <w:pPr>
              <w:pStyle w:val="TableTitle"/>
            </w:pPr>
            <w:r>
              <w:lastRenderedPageBreak/>
              <w:t xml:space="preserve">Evidence </w:t>
            </w:r>
            <w:r w:rsidRPr="00E40AE6">
              <w:t xml:space="preserve">Table </w:t>
            </w:r>
            <w:r>
              <w:t xml:space="preserve">95. </w:t>
            </w:r>
            <w:r w:rsidRPr="00E40AE6">
              <w:t>KQ3</w:t>
            </w:r>
            <w:r>
              <w:rPr>
                <w:rFonts w:cs="Arial"/>
              </w:rPr>
              <w:t>—</w:t>
            </w:r>
            <w:r w:rsidRPr="00E40AE6">
              <w:t>Continuous</w:t>
            </w:r>
            <w:r>
              <w:rPr>
                <w:rFonts w:cs="Arial"/>
              </w:rPr>
              <w:t>—A</w:t>
            </w:r>
            <w:r w:rsidRPr="00E40AE6">
              <w:t xml:space="preserve">lkaline </w:t>
            </w:r>
            <w:r>
              <w:t>p</w:t>
            </w:r>
            <w:r w:rsidRPr="00E40AE6">
              <w:t>hosphatase</w:t>
            </w:r>
            <w:r>
              <w:t xml:space="preserve"> (continued)</w:t>
            </w:r>
          </w:p>
        </w:tc>
      </w:tr>
      <w:tr w:rsidR="005B0EBD" w:rsidRPr="005B0EBD" w:rsidTr="00DA624A">
        <w:trPr>
          <w:cantSplit/>
          <w:tblHeader/>
        </w:trPr>
        <w:tc>
          <w:tcPr>
            <w:tcW w:w="1038"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Author Year</w:t>
            </w:r>
          </w:p>
          <w:p w:rsidR="005B0EBD" w:rsidRPr="005B0EBD" w:rsidRDefault="005B0EBD" w:rsidP="00DA624A">
            <w:pPr>
              <w:spacing w:after="0"/>
              <w:ind w:firstLine="0"/>
              <w:jc w:val="center"/>
              <w:rPr>
                <w:rFonts w:ascii="Arial" w:hAnsi="Arial" w:cs="Arial"/>
                <w:b/>
                <w:sz w:val="18"/>
                <w:szCs w:val="18"/>
              </w:rPr>
            </w:pP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Study Design</w:t>
            </w:r>
          </w:p>
        </w:tc>
        <w:tc>
          <w:tcPr>
            <w:tcW w:w="1013"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CHD Risk Category</w:t>
            </w:r>
          </w:p>
        </w:tc>
        <w:tc>
          <w:tcPr>
            <w:tcW w:w="1167" w:type="dxa"/>
            <w:gridSpan w:val="2"/>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CVD drug</w:t>
            </w:r>
          </w:p>
        </w:tc>
        <w:tc>
          <w:tcPr>
            <w:tcW w:w="783"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CVD</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Dose (mg/d)</w:t>
            </w:r>
          </w:p>
        </w:tc>
        <w:tc>
          <w:tcPr>
            <w:tcW w:w="1313"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Supplement/ Control</w:t>
            </w:r>
          </w:p>
        </w:tc>
        <w:tc>
          <w:tcPr>
            <w:tcW w:w="450" w:type="dxa"/>
            <w:gridSpan w:val="2"/>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N</w:t>
            </w:r>
          </w:p>
        </w:tc>
        <w:tc>
          <w:tcPr>
            <w:tcW w:w="1225"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Definition of outcome/ Unit of outcome</w:t>
            </w:r>
          </w:p>
        </w:tc>
        <w:tc>
          <w:tcPr>
            <w:tcW w:w="1212" w:type="dxa"/>
            <w:gridSpan w:val="2"/>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Post treatment Mean/</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(Median)</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SD/SE</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Lower limit (IQR, 95% CI)</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Upper Limit (IQR, 95% CI)</w:t>
            </w:r>
          </w:p>
        </w:tc>
        <w:tc>
          <w:tcPr>
            <w:tcW w:w="1081" w:type="dxa"/>
            <w:gridSpan w:val="2"/>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Mean change/ % change from baseline/</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SD/</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P Value</w:t>
            </w:r>
          </w:p>
        </w:tc>
        <w:tc>
          <w:tcPr>
            <w:tcW w:w="1196" w:type="dxa"/>
            <w:gridSpan w:val="2"/>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Between group differences in Means/ medians</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SD/</w:t>
            </w:r>
          </w:p>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P Value</w:t>
            </w:r>
          </w:p>
        </w:tc>
        <w:tc>
          <w:tcPr>
            <w:tcW w:w="1383"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Additional Comments</w:t>
            </w:r>
          </w:p>
        </w:tc>
        <w:tc>
          <w:tcPr>
            <w:tcW w:w="1315" w:type="dxa"/>
            <w:shd w:val="pct10" w:color="auto" w:fill="auto"/>
            <w:vAlign w:val="center"/>
          </w:tcPr>
          <w:p w:rsidR="005B0EBD" w:rsidRPr="005B0EBD" w:rsidRDefault="005B0EBD" w:rsidP="00DA624A">
            <w:pPr>
              <w:spacing w:after="0"/>
              <w:ind w:firstLine="0"/>
              <w:jc w:val="center"/>
              <w:rPr>
                <w:rFonts w:ascii="Arial" w:hAnsi="Arial" w:cs="Arial"/>
                <w:b/>
                <w:sz w:val="18"/>
                <w:szCs w:val="18"/>
              </w:rPr>
            </w:pPr>
            <w:r w:rsidRPr="005B0EBD">
              <w:rPr>
                <w:rFonts w:ascii="Arial" w:hAnsi="Arial" w:cs="Arial"/>
                <w:b/>
                <w:sz w:val="18"/>
                <w:szCs w:val="18"/>
              </w:rPr>
              <w:t>Overall Risk of Bias (ROB) Assessment</w:t>
            </w:r>
          </w:p>
        </w:tc>
      </w:tr>
      <w:tr w:rsidR="00980857" w:rsidRPr="005B0EBD" w:rsidTr="005B0EBD">
        <w:trPr>
          <w:cantSplit/>
        </w:trPr>
        <w:tc>
          <w:tcPr>
            <w:tcW w:w="1038"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Napoli</w:t>
            </w:r>
            <w:r w:rsidRPr="005B0EBD">
              <w:rPr>
                <w:rFonts w:ascii="Arial" w:hAnsi="Arial" w:cs="Arial"/>
                <w:sz w:val="18"/>
                <w:szCs w:val="18"/>
              </w:rPr>
              <w:br/>
              <w:t>1998</w:t>
            </w:r>
            <w:r w:rsidRPr="005B0EBD">
              <w:rPr>
                <w:rFonts w:ascii="Arial" w:hAnsi="Arial" w:cs="Arial"/>
                <w:noProof/>
                <w:sz w:val="18"/>
                <w:szCs w:val="18"/>
                <w:vertAlign w:val="superscript"/>
              </w:rPr>
              <w:t>52</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Parallel</w:t>
            </w:r>
          </w:p>
        </w:tc>
        <w:tc>
          <w:tcPr>
            <w:tcW w:w="101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Unclear</w:t>
            </w:r>
          </w:p>
        </w:tc>
        <w:tc>
          <w:tcPr>
            <w:tcW w:w="1167"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Pravastatin</w:t>
            </w:r>
          </w:p>
        </w:tc>
        <w:tc>
          <w:tcPr>
            <w:tcW w:w="7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20-40</w:t>
            </w: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Vitamin E</w:t>
            </w:r>
          </w:p>
        </w:tc>
        <w:tc>
          <w:tcPr>
            <w:tcW w:w="450" w:type="dxa"/>
            <w:gridSpan w:val="2"/>
            <w:vAlign w:val="center"/>
          </w:tcPr>
          <w:p w:rsidR="00980857" w:rsidRPr="005B0EBD" w:rsidRDefault="00980857" w:rsidP="005B0EBD">
            <w:pPr>
              <w:spacing w:after="0"/>
              <w:ind w:firstLine="0"/>
              <w:jc w:val="center"/>
              <w:rPr>
                <w:rFonts w:ascii="Arial" w:hAnsi="Arial" w:cs="Arial"/>
                <w:sz w:val="18"/>
                <w:szCs w:val="18"/>
              </w:rPr>
            </w:pPr>
          </w:p>
        </w:tc>
        <w:tc>
          <w:tcPr>
            <w:tcW w:w="122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p w:rsidR="00980857" w:rsidRPr="005B0EBD" w:rsidRDefault="00980857" w:rsidP="005B0EBD">
            <w:pPr>
              <w:spacing w:after="0"/>
              <w:ind w:firstLine="0"/>
              <w:jc w:val="center"/>
              <w:rPr>
                <w:rFonts w:ascii="Arial" w:hAnsi="Arial" w:cs="Arial"/>
                <w:sz w:val="18"/>
                <w:szCs w:val="18"/>
              </w:rPr>
            </w:pP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Unit: NR</w:t>
            </w:r>
          </w:p>
        </w:tc>
        <w:tc>
          <w:tcPr>
            <w:tcW w:w="1212"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3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31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Medium</w:t>
            </w: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No Treatment</w:t>
            </w:r>
          </w:p>
        </w:tc>
        <w:tc>
          <w:tcPr>
            <w:tcW w:w="450" w:type="dxa"/>
            <w:gridSpan w:val="2"/>
            <w:vAlign w:val="center"/>
          </w:tcPr>
          <w:p w:rsidR="00980857" w:rsidRPr="005B0EBD" w:rsidRDefault="00980857" w:rsidP="005B0EBD">
            <w:pPr>
              <w:spacing w:after="0"/>
              <w:ind w:firstLine="0"/>
              <w:jc w:val="center"/>
              <w:rPr>
                <w:rFonts w:ascii="Arial" w:hAnsi="Arial" w:cs="Arial"/>
                <w:sz w:val="18"/>
                <w:szCs w:val="18"/>
              </w:rPr>
            </w:pP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96"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r w:rsidR="00980857" w:rsidRPr="005B0EBD" w:rsidTr="005B0EBD">
        <w:trPr>
          <w:cantSplit/>
        </w:trPr>
        <w:tc>
          <w:tcPr>
            <w:tcW w:w="1038"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Budoff</w:t>
            </w:r>
            <w:r w:rsidRPr="005B0EBD">
              <w:rPr>
                <w:rFonts w:ascii="Arial" w:hAnsi="Arial" w:cs="Arial"/>
                <w:sz w:val="18"/>
                <w:szCs w:val="18"/>
              </w:rPr>
              <w:br/>
              <w:t>2004</w:t>
            </w:r>
            <w:r w:rsidRPr="005B0EBD">
              <w:rPr>
                <w:rFonts w:ascii="Arial" w:hAnsi="Arial" w:cs="Arial"/>
                <w:noProof/>
                <w:sz w:val="18"/>
                <w:szCs w:val="18"/>
                <w:vertAlign w:val="superscript"/>
              </w:rPr>
              <w:t>10</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Parallel</w:t>
            </w:r>
          </w:p>
        </w:tc>
        <w:tc>
          <w:tcPr>
            <w:tcW w:w="101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At high risk for CHD</w:t>
            </w:r>
          </w:p>
        </w:tc>
        <w:tc>
          <w:tcPr>
            <w:tcW w:w="1167"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Statins + aspirin</w:t>
            </w:r>
          </w:p>
        </w:tc>
        <w:tc>
          <w:tcPr>
            <w:tcW w:w="7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10-40</w:t>
            </w: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Garlic</w:t>
            </w:r>
          </w:p>
        </w:tc>
        <w:tc>
          <w:tcPr>
            <w:tcW w:w="450"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9</w:t>
            </w:r>
          </w:p>
        </w:tc>
        <w:tc>
          <w:tcPr>
            <w:tcW w:w="122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p w:rsidR="00980857" w:rsidRPr="005B0EBD" w:rsidRDefault="00980857" w:rsidP="005B0EBD">
            <w:pPr>
              <w:spacing w:after="0"/>
              <w:ind w:firstLine="0"/>
              <w:jc w:val="center"/>
              <w:rPr>
                <w:rFonts w:ascii="Arial" w:hAnsi="Arial" w:cs="Arial"/>
                <w:sz w:val="18"/>
                <w:szCs w:val="18"/>
              </w:rPr>
            </w:pP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Unit: mg/dl</w:t>
            </w:r>
          </w:p>
        </w:tc>
        <w:tc>
          <w:tcPr>
            <w:tcW w:w="1212"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Mean:4</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Median:</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SD:12.1</w:t>
            </w:r>
          </w:p>
        </w:tc>
        <w:tc>
          <w:tcPr>
            <w:tcW w:w="1196"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 0.1452</w:t>
            </w:r>
          </w:p>
        </w:tc>
        <w:tc>
          <w:tcPr>
            <w:tcW w:w="138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N/A</w:t>
            </w:r>
          </w:p>
        </w:tc>
        <w:tc>
          <w:tcPr>
            <w:tcW w:w="131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Medium</w:t>
            </w: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67"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783" w:type="dxa"/>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Placebo</w:t>
            </w:r>
          </w:p>
        </w:tc>
        <w:tc>
          <w:tcPr>
            <w:tcW w:w="450"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10</w:t>
            </w:r>
          </w:p>
        </w:tc>
        <w:tc>
          <w:tcPr>
            <w:tcW w:w="1225" w:type="dxa"/>
            <w:vMerge/>
            <w:vAlign w:val="center"/>
          </w:tcPr>
          <w:p w:rsidR="00980857" w:rsidRPr="005B0EBD" w:rsidRDefault="00980857" w:rsidP="005B0EBD">
            <w:pPr>
              <w:spacing w:after="0"/>
              <w:ind w:firstLine="0"/>
              <w:jc w:val="center"/>
              <w:rPr>
                <w:rFonts w:ascii="Arial" w:hAnsi="Arial" w:cs="Arial"/>
                <w:sz w:val="18"/>
                <w:szCs w:val="18"/>
              </w:rPr>
            </w:pPr>
          </w:p>
        </w:tc>
        <w:tc>
          <w:tcPr>
            <w:tcW w:w="1212"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1"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Mean:-10.1</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SD:25.2</w:t>
            </w:r>
          </w:p>
        </w:tc>
        <w:tc>
          <w:tcPr>
            <w:tcW w:w="1196"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383" w:type="dxa"/>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r w:rsidR="00980857" w:rsidRPr="005B0EBD" w:rsidTr="005B0EBD">
        <w:trPr>
          <w:cantSplit/>
        </w:trPr>
        <w:tc>
          <w:tcPr>
            <w:tcW w:w="1038"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lastRenderedPageBreak/>
              <w:t>Wolf</w:t>
            </w:r>
            <w:r w:rsidRPr="005B0EBD">
              <w:rPr>
                <w:rFonts w:ascii="Arial" w:hAnsi="Arial" w:cs="Arial"/>
                <w:sz w:val="18"/>
                <w:szCs w:val="18"/>
              </w:rPr>
              <w:br/>
              <w:t>2008</w:t>
            </w:r>
            <w:r w:rsidRPr="005B0EBD">
              <w:rPr>
                <w:rFonts w:ascii="Arial" w:hAnsi="Arial" w:cs="Arial"/>
                <w:noProof/>
                <w:sz w:val="18"/>
                <w:szCs w:val="18"/>
                <w:vertAlign w:val="superscript"/>
              </w:rPr>
              <w:t>68</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Crossover</w:t>
            </w:r>
          </w:p>
        </w:tc>
        <w:tc>
          <w:tcPr>
            <w:tcW w:w="1013"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Mixed:</w:t>
            </w: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Low and/or Moderate</w:t>
            </w:r>
          </w:p>
        </w:tc>
        <w:tc>
          <w:tcPr>
            <w:tcW w:w="1154"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ASA</w:t>
            </w:r>
          </w:p>
        </w:tc>
        <w:tc>
          <w:tcPr>
            <w:tcW w:w="796"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500</w:t>
            </w:r>
          </w:p>
        </w:tc>
        <w:tc>
          <w:tcPr>
            <w:tcW w:w="1313"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Gingko biloba</w:t>
            </w:r>
          </w:p>
        </w:tc>
        <w:tc>
          <w:tcPr>
            <w:tcW w:w="434" w:type="dxa"/>
            <w:vAlign w:val="center"/>
          </w:tcPr>
          <w:p w:rsidR="00980857" w:rsidRPr="005B0EBD" w:rsidRDefault="00980857" w:rsidP="005B0EBD">
            <w:pPr>
              <w:spacing w:after="0"/>
              <w:ind w:firstLine="0"/>
              <w:jc w:val="center"/>
              <w:rPr>
                <w:rFonts w:ascii="Arial" w:hAnsi="Arial" w:cs="Arial"/>
                <w:sz w:val="18"/>
                <w:szCs w:val="18"/>
              </w:rPr>
            </w:pPr>
          </w:p>
        </w:tc>
        <w:tc>
          <w:tcPr>
            <w:tcW w:w="1241"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p w:rsidR="00980857" w:rsidRPr="005B0EBD" w:rsidRDefault="00980857" w:rsidP="005B0EBD">
            <w:pPr>
              <w:spacing w:after="0"/>
              <w:ind w:firstLine="0"/>
              <w:jc w:val="center"/>
              <w:rPr>
                <w:rFonts w:ascii="Arial" w:hAnsi="Arial" w:cs="Arial"/>
                <w:sz w:val="18"/>
                <w:szCs w:val="18"/>
              </w:rPr>
            </w:pPr>
          </w:p>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Unit: NR</w:t>
            </w:r>
          </w:p>
        </w:tc>
        <w:tc>
          <w:tcPr>
            <w:tcW w:w="120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3"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86"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403" w:type="dxa"/>
            <w:gridSpan w:val="2"/>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Study states that: Laboratory findings in all subjects were un-remarkable and did not indicate any differences between the treatment groups.</w:t>
            </w:r>
          </w:p>
        </w:tc>
        <w:tc>
          <w:tcPr>
            <w:tcW w:w="1315" w:type="dxa"/>
            <w:vMerge w:val="restart"/>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Low-medium</w:t>
            </w:r>
          </w:p>
        </w:tc>
      </w:tr>
      <w:tr w:rsidR="00980857" w:rsidRPr="005B0EBD" w:rsidTr="005B0EBD">
        <w:trPr>
          <w:cantSplit/>
        </w:trPr>
        <w:tc>
          <w:tcPr>
            <w:tcW w:w="1038" w:type="dxa"/>
            <w:vMerge/>
            <w:vAlign w:val="center"/>
          </w:tcPr>
          <w:p w:rsidR="00980857" w:rsidRPr="005B0EBD" w:rsidRDefault="00980857" w:rsidP="005B0EBD">
            <w:pPr>
              <w:spacing w:after="0"/>
              <w:ind w:firstLine="0"/>
              <w:jc w:val="center"/>
              <w:rPr>
                <w:rFonts w:ascii="Arial" w:hAnsi="Arial" w:cs="Arial"/>
                <w:sz w:val="18"/>
                <w:szCs w:val="18"/>
              </w:rPr>
            </w:pPr>
          </w:p>
        </w:tc>
        <w:tc>
          <w:tcPr>
            <w:tcW w:w="1013" w:type="dxa"/>
            <w:vMerge/>
            <w:vAlign w:val="center"/>
          </w:tcPr>
          <w:p w:rsidR="00980857" w:rsidRPr="005B0EBD" w:rsidRDefault="00980857" w:rsidP="005B0EBD">
            <w:pPr>
              <w:spacing w:after="0"/>
              <w:ind w:firstLine="0"/>
              <w:jc w:val="center"/>
              <w:rPr>
                <w:rFonts w:ascii="Arial" w:hAnsi="Arial" w:cs="Arial"/>
                <w:sz w:val="18"/>
                <w:szCs w:val="18"/>
              </w:rPr>
            </w:pPr>
          </w:p>
        </w:tc>
        <w:tc>
          <w:tcPr>
            <w:tcW w:w="1154" w:type="dxa"/>
            <w:vMerge/>
            <w:vAlign w:val="center"/>
          </w:tcPr>
          <w:p w:rsidR="00980857" w:rsidRPr="005B0EBD" w:rsidRDefault="00980857" w:rsidP="005B0EBD">
            <w:pPr>
              <w:spacing w:after="0"/>
              <w:ind w:firstLine="0"/>
              <w:jc w:val="center"/>
              <w:rPr>
                <w:rFonts w:ascii="Arial" w:hAnsi="Arial" w:cs="Arial"/>
                <w:sz w:val="18"/>
                <w:szCs w:val="18"/>
              </w:rPr>
            </w:pPr>
          </w:p>
        </w:tc>
        <w:tc>
          <w:tcPr>
            <w:tcW w:w="796"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313" w:type="dxa"/>
            <w:vAlign w:val="center"/>
          </w:tcPr>
          <w:p w:rsidR="00980857" w:rsidRPr="005B0EBD" w:rsidRDefault="00980857" w:rsidP="005B0EBD">
            <w:pPr>
              <w:spacing w:after="0"/>
              <w:ind w:firstLine="0"/>
              <w:jc w:val="center"/>
              <w:rPr>
                <w:rFonts w:ascii="Arial" w:hAnsi="Arial" w:cs="Arial"/>
                <w:sz w:val="18"/>
                <w:szCs w:val="18"/>
              </w:rPr>
            </w:pPr>
          </w:p>
        </w:tc>
        <w:tc>
          <w:tcPr>
            <w:tcW w:w="434" w:type="dxa"/>
            <w:vAlign w:val="center"/>
          </w:tcPr>
          <w:p w:rsidR="00980857" w:rsidRPr="005B0EBD" w:rsidRDefault="00980857" w:rsidP="005B0EBD">
            <w:pPr>
              <w:spacing w:after="0"/>
              <w:ind w:firstLine="0"/>
              <w:jc w:val="center"/>
              <w:rPr>
                <w:rFonts w:ascii="Arial" w:hAnsi="Arial" w:cs="Arial"/>
                <w:sz w:val="18"/>
                <w:szCs w:val="18"/>
              </w:rPr>
            </w:pPr>
          </w:p>
        </w:tc>
        <w:tc>
          <w:tcPr>
            <w:tcW w:w="1241"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200" w:type="dxa"/>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083" w:type="dxa"/>
            <w:gridSpan w:val="2"/>
            <w:vAlign w:val="center"/>
          </w:tcPr>
          <w:p w:rsidR="00980857" w:rsidRPr="005B0EBD" w:rsidRDefault="00980857" w:rsidP="005B0EBD">
            <w:pPr>
              <w:spacing w:after="0"/>
              <w:ind w:firstLine="0"/>
              <w:jc w:val="center"/>
              <w:rPr>
                <w:rFonts w:ascii="Arial" w:hAnsi="Arial" w:cs="Arial"/>
                <w:sz w:val="18"/>
                <w:szCs w:val="18"/>
              </w:rPr>
            </w:pPr>
            <w:r w:rsidRPr="005B0EBD">
              <w:rPr>
                <w:rFonts w:ascii="Arial" w:hAnsi="Arial" w:cs="Arial"/>
                <w:sz w:val="18"/>
                <w:szCs w:val="18"/>
              </w:rPr>
              <w:t>NR</w:t>
            </w:r>
          </w:p>
        </w:tc>
        <w:tc>
          <w:tcPr>
            <w:tcW w:w="1186"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403" w:type="dxa"/>
            <w:gridSpan w:val="2"/>
            <w:vMerge/>
            <w:vAlign w:val="center"/>
          </w:tcPr>
          <w:p w:rsidR="00980857" w:rsidRPr="005B0EBD" w:rsidRDefault="00980857" w:rsidP="005B0EBD">
            <w:pPr>
              <w:spacing w:after="0"/>
              <w:ind w:firstLine="0"/>
              <w:jc w:val="center"/>
              <w:rPr>
                <w:rFonts w:ascii="Arial" w:hAnsi="Arial" w:cs="Arial"/>
                <w:sz w:val="18"/>
                <w:szCs w:val="18"/>
              </w:rPr>
            </w:pPr>
          </w:p>
        </w:tc>
        <w:tc>
          <w:tcPr>
            <w:tcW w:w="1315" w:type="dxa"/>
            <w:vMerge/>
            <w:vAlign w:val="center"/>
          </w:tcPr>
          <w:p w:rsidR="00980857" w:rsidRPr="005B0EBD" w:rsidRDefault="00980857" w:rsidP="005B0EBD">
            <w:pPr>
              <w:spacing w:after="0"/>
              <w:ind w:firstLine="0"/>
              <w:jc w:val="center"/>
              <w:rPr>
                <w:rFonts w:ascii="Arial" w:hAnsi="Arial" w:cs="Arial"/>
                <w:sz w:val="18"/>
                <w:szCs w:val="18"/>
              </w:rPr>
            </w:pPr>
          </w:p>
        </w:tc>
      </w:tr>
    </w:tbl>
    <w:p w:rsidR="004A172F" w:rsidRDefault="004A172F" w:rsidP="004A172F">
      <w:pPr>
        <w:rPr>
          <w:rFonts w:ascii="Arial" w:hAnsi="Arial" w:cs="Arial"/>
          <w:sz w:val="18"/>
          <w:szCs w:val="18"/>
        </w:rPr>
      </w:pPr>
    </w:p>
    <w:sectPr w:rsidR="004A172F" w:rsidSect="004A172F">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172F"/>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1618"/>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347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2210</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2012-05-25T14:16:00Z</dcterms:modified>
</cp:coreProperties>
</file>