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A847C5">
      <w:pPr>
        <w:pStyle w:val="TableTitle"/>
      </w:pPr>
      <w:proofErr w:type="gramStart"/>
      <w:r>
        <w:t xml:space="preserve">Evidence </w:t>
      </w:r>
      <w:r w:rsidRPr="00E40AE6">
        <w:t>Table</w:t>
      </w:r>
      <w:r w:rsidR="00A847C5">
        <w:t xml:space="preserve"> 67</w:t>
      </w:r>
      <w:r w:rsidRPr="00E40AE6">
        <w:t>.</w:t>
      </w:r>
      <w:proofErr w:type="gramEnd"/>
      <w:r w:rsidRPr="00E40AE6">
        <w:t xml:space="preserve"> KQ1</w:t>
      </w:r>
      <w:r w:rsidR="00A847C5">
        <w:rPr>
          <w:rFonts w:cs="Arial"/>
        </w:rPr>
        <w:t>—</w:t>
      </w:r>
      <w:r w:rsidRPr="00E40AE6">
        <w:t>Dichotomous data</w:t>
      </w:r>
      <w:r w:rsidR="00A847C5">
        <w:rPr>
          <w:rFonts w:cs="Arial"/>
        </w:rPr>
        <w:t>—</w:t>
      </w:r>
      <w:r w:rsidRPr="00E40AE6">
        <w:t>Hospitalization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5"/>
        <w:gridCol w:w="1497"/>
        <w:gridCol w:w="997"/>
        <w:gridCol w:w="1224"/>
        <w:gridCol w:w="1248"/>
        <w:gridCol w:w="517"/>
        <w:gridCol w:w="688"/>
        <w:gridCol w:w="929"/>
        <w:gridCol w:w="517"/>
        <w:gridCol w:w="689"/>
        <w:gridCol w:w="1198"/>
        <w:gridCol w:w="1119"/>
        <w:gridCol w:w="1278"/>
      </w:tblGrid>
      <w:tr w:rsidR="00980857" w:rsidRPr="00E40AE6" w:rsidTr="00FD6FB3">
        <w:trPr>
          <w:cantSplit/>
          <w:tblHeader/>
          <w:jc w:val="center"/>
        </w:trPr>
        <w:tc>
          <w:tcPr>
            <w:tcW w:w="1518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227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1021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1248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Supplement name (dose g/d)</w:t>
            </w:r>
          </w:p>
        </w:tc>
        <w:tc>
          <w:tcPr>
            <w:tcW w:w="449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689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977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450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690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1199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1121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278" w:type="dxa"/>
            <w:shd w:val="pct10" w:color="D9D9D9" w:fill="D9D9D9"/>
            <w:vAlign w:val="center"/>
          </w:tcPr>
          <w:p w:rsidR="00980857" w:rsidRPr="00E40AE6" w:rsidRDefault="00980857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FD6FB3">
        <w:trPr>
          <w:cantSplit/>
          <w:jc w:val="center"/>
        </w:trPr>
        <w:tc>
          <w:tcPr>
            <w:tcW w:w="1518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Davidson 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227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Hospitalization due to SAE (pneumonia, CHF, supraventricular tachycardia) – 8 weeks follow-up</w:t>
            </w:r>
          </w:p>
        </w:tc>
        <w:tc>
          <w:tcPr>
            <w:tcW w:w="1021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09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(40)</w:t>
            </w:r>
          </w:p>
        </w:tc>
        <w:tc>
          <w:tcPr>
            <w:tcW w:w="1248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(EPA, DHA, or both) (4)</w:t>
            </w:r>
          </w:p>
        </w:tc>
        <w:tc>
          <w:tcPr>
            <w:tcW w:w="449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689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7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50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690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99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980857" w:rsidRPr="00E40AE6" w:rsidRDefault="00980857" w:rsidP="009D1AE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9D0F55" w:rsidRDefault="009D0F55">
      <w:pPr>
        <w:spacing w:after="0"/>
        <w:ind w:firstLine="0"/>
      </w:pPr>
    </w:p>
    <w:sectPr w:rsidR="009D0F55" w:rsidSect="009D0F5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6B9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0F55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2012-05-24T14:05:00Z</dcterms:modified>
</cp:coreProperties>
</file>