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C93A41">
      <w:pPr>
        <w:pStyle w:val="TableTitle"/>
      </w:pPr>
      <w:proofErr w:type="gramStart"/>
      <w:r>
        <w:t xml:space="preserve">Evidence </w:t>
      </w:r>
      <w:r w:rsidRPr="00E40AE6">
        <w:t>Table</w:t>
      </w:r>
      <w:r w:rsidR="00C93A41">
        <w:t xml:space="preserve"> 160.</w:t>
      </w:r>
      <w:proofErr w:type="gramEnd"/>
      <w:r w:rsidRPr="00E40AE6">
        <w:t xml:space="preserve"> KQ4</w:t>
      </w:r>
      <w:r w:rsidR="00C93A41">
        <w:rPr>
          <w:rFonts w:cs="Arial"/>
        </w:rPr>
        <w:t>—</w:t>
      </w:r>
      <w:r w:rsidRPr="00E40AE6">
        <w:t>Continuous data</w:t>
      </w:r>
      <w:r w:rsidR="00C93A41">
        <w:rPr>
          <w:rFonts w:cs="Arial"/>
        </w:rPr>
        <w:t>—</w:t>
      </w:r>
      <w:r w:rsidRPr="00E40AE6">
        <w:t>Absorption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1251"/>
        <w:gridCol w:w="1172"/>
        <w:gridCol w:w="989"/>
        <w:gridCol w:w="1435"/>
        <w:gridCol w:w="346"/>
        <w:gridCol w:w="1310"/>
        <w:gridCol w:w="1485"/>
        <w:gridCol w:w="1790"/>
        <w:gridCol w:w="1304"/>
        <w:gridCol w:w="1741"/>
      </w:tblGrid>
      <w:tr w:rsidR="00980857" w:rsidRPr="00E40AE6" w:rsidTr="00C93A41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 / % change from baseline /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 /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 / medians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 /</w:t>
            </w:r>
          </w:p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93A41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C93A41">
        <w:trPr>
          <w:cantSplit/>
        </w:trPr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b/>
                <w:i/>
                <w:sz w:val="18"/>
                <w:szCs w:val="18"/>
              </w:rPr>
              <w:t>Bioavailability</w:t>
            </w:r>
            <w:proofErr w:type="spellEnd"/>
            <w:r w:rsidRPr="00E40A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(F) </w:t>
            </w:r>
            <w:r w:rsidRPr="00E40AE6">
              <w:rPr>
                <w:rFonts w:ascii="Arial" w:hAnsi="Arial" w:cs="Arial"/>
                <w:i/>
                <w:sz w:val="18"/>
                <w:szCs w:val="18"/>
              </w:rPr>
              <w:t>– no outcome data</w:t>
            </w: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93A41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8C8" w:rsidRDefault="00F148C8" w:rsidP="00F148C8"/>
    <w:sectPr w:rsidR="00F148C8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285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8C8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2012-05-26T13:23:00Z</dcterms:modified>
</cp:coreProperties>
</file>