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884628">
      <w:pPr>
        <w:pStyle w:val="TableTitle"/>
      </w:pPr>
      <w:proofErr w:type="gramStart"/>
      <w:r>
        <w:t xml:space="preserve">Evidence </w:t>
      </w:r>
      <w:r w:rsidRPr="00E40AE6">
        <w:t xml:space="preserve">Table </w:t>
      </w:r>
      <w:r w:rsidR="00884628">
        <w:t>57</w:t>
      </w:r>
      <w:r w:rsidRPr="00E40AE6">
        <w:t>.</w:t>
      </w:r>
      <w:proofErr w:type="gramEnd"/>
      <w:r w:rsidRPr="00E40AE6">
        <w:t xml:space="preserve"> General characteristics of all studies</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51"/>
        <w:gridCol w:w="3229"/>
        <w:gridCol w:w="1778"/>
        <w:gridCol w:w="2460"/>
        <w:gridCol w:w="1741"/>
        <w:gridCol w:w="1531"/>
        <w:gridCol w:w="1683"/>
      </w:tblGrid>
      <w:tr w:rsidR="00980857" w:rsidRPr="00DF7310" w:rsidTr="00884628">
        <w:trPr>
          <w:divId w:val="249197538"/>
          <w:cantSplit/>
          <w:tblHeader/>
          <w:tblCellSpacing w:w="15" w:type="dxa"/>
        </w:trPr>
        <w:tc>
          <w:tcPr>
            <w:tcW w:w="0" w:type="auto"/>
            <w:shd w:val="pct10" w:color="auto" w:fill="auto"/>
            <w:tcMar>
              <w:top w:w="15" w:type="dxa"/>
              <w:left w:w="15" w:type="dxa"/>
              <w:bottom w:w="15" w:type="dxa"/>
              <w:right w:w="15" w:type="dxa"/>
            </w:tcMar>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Author Year</w:t>
            </w:r>
          </w:p>
        </w:tc>
        <w:tc>
          <w:tcPr>
            <w:tcW w:w="0" w:type="auto"/>
            <w:shd w:val="pct10" w:color="auto" w:fill="auto"/>
            <w:tcMar>
              <w:top w:w="15" w:type="dxa"/>
              <w:left w:w="15" w:type="dxa"/>
              <w:bottom w:w="15" w:type="dxa"/>
              <w:right w:w="15" w:type="dxa"/>
            </w:tcMar>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 xml:space="preserve">Population </w:t>
            </w:r>
          </w:p>
        </w:tc>
        <w:tc>
          <w:tcPr>
            <w:tcW w:w="0" w:type="auto"/>
            <w:shd w:val="pct10" w:color="auto" w:fill="auto"/>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Study</w:t>
            </w:r>
          </w:p>
        </w:tc>
        <w:tc>
          <w:tcPr>
            <w:tcW w:w="0" w:type="auto"/>
            <w:shd w:val="pct10" w:color="auto" w:fill="auto"/>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CVD Drug</w:t>
            </w:r>
          </w:p>
        </w:tc>
        <w:tc>
          <w:tcPr>
            <w:tcW w:w="0" w:type="auto"/>
            <w:shd w:val="pct10" w:color="auto" w:fill="auto"/>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Dietary Supplements</w:t>
            </w:r>
          </w:p>
        </w:tc>
        <w:tc>
          <w:tcPr>
            <w:tcW w:w="0" w:type="auto"/>
            <w:shd w:val="pct10" w:color="auto" w:fill="auto"/>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Control Group(s)</w:t>
            </w:r>
          </w:p>
        </w:tc>
        <w:tc>
          <w:tcPr>
            <w:tcW w:w="0" w:type="auto"/>
            <w:shd w:val="pct10" w:color="auto" w:fill="auto"/>
            <w:vAlign w:val="center"/>
          </w:tcPr>
          <w:p w:rsidR="00980857" w:rsidRPr="00DF7310" w:rsidRDefault="00980857" w:rsidP="00DF7310">
            <w:pPr>
              <w:spacing w:after="0"/>
              <w:ind w:firstLine="0"/>
              <w:rPr>
                <w:rFonts w:ascii="Arial" w:hAnsi="Arial" w:cs="Arial"/>
                <w:b/>
                <w:sz w:val="18"/>
                <w:szCs w:val="18"/>
              </w:rPr>
            </w:pPr>
            <w:r w:rsidRPr="00DF7310">
              <w:rPr>
                <w:rFonts w:ascii="Arial" w:hAnsi="Arial" w:cs="Arial"/>
                <w:b/>
                <w:sz w:val="18"/>
                <w:szCs w:val="18"/>
              </w:rPr>
              <w:t>Other Interventions</w:t>
            </w:r>
          </w:p>
        </w:tc>
      </w:tr>
      <w:tr w:rsidR="00980857" w:rsidRPr="00DF7310" w:rsidTr="00884628">
        <w:trPr>
          <w:divId w:val="249197538"/>
          <w:cantSplit/>
          <w:tblCellSpacing w:w="15" w:type="dxa"/>
        </w:trPr>
        <w:tc>
          <w:tcPr>
            <w:tcW w:w="0" w:type="auto"/>
            <w:tcMar>
              <w:top w:w="15" w:type="dxa"/>
              <w:left w:w="15" w:type="dxa"/>
              <w:bottom w:w="15" w:type="dxa"/>
              <w:right w:w="15" w:type="dxa"/>
            </w:tcMar>
          </w:tcPr>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Abdul 2010</w:t>
            </w:r>
            <w:r w:rsidRPr="00DF7310">
              <w:rPr>
                <w:rFonts w:ascii="Arial" w:hAnsi="Arial" w:cs="Arial"/>
                <w:noProof/>
                <w:sz w:val="18"/>
                <w:szCs w:val="18"/>
                <w:vertAlign w:val="superscript"/>
              </w:rPr>
              <w:t>1</w:t>
            </w:r>
          </w:p>
        </w:tc>
        <w:tc>
          <w:tcPr>
            <w:tcW w:w="0" w:type="auto"/>
            <w:tcMar>
              <w:top w:w="15" w:type="dxa"/>
              <w:left w:w="15" w:type="dxa"/>
              <w:bottom w:w="15" w:type="dxa"/>
              <w:right w:w="15" w:type="dxa"/>
            </w:tcMar>
          </w:tcPr>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N screened: NR</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 xml:space="preserve">N included/randomized: 12 </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Age: 24</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%female: 0</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 xml:space="preserve">Ethnicity: </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 Caucasian (6)</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 xml:space="preserve">- Asian (6) </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Comorbidities (other than indication(s) for CVDs: NR</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CHD Risk Level: At low risk for CHD (0-1 risk factors)</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Inclusion Criteria: non-smokers and not taking any medication including any herbal medicines or dietary supplements (for at least 2 weeks)</w:t>
            </w:r>
            <w:r w:rsidRPr="00DF7310">
              <w:rPr>
                <w:rFonts w:ascii="Arial" w:hAnsi="Arial" w:cs="Arial"/>
                <w:sz w:val="18"/>
                <w:szCs w:val="18"/>
              </w:rPr>
              <w:br/>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Exclusion Criteria: Subjects with any medical condition that could alter warfarin effects, including any clotting disorders, hepatic dysfunction or platelet dysfunction</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Brief Description: healthy male subjects of known CYP2C9 and VKORC1 genotype</w:t>
            </w:r>
          </w:p>
        </w:tc>
        <w:tc>
          <w:tcPr>
            <w:tcW w:w="0" w:type="auto"/>
          </w:tcPr>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Study Design: Crossover RCT</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Region: NR, likely Australia</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Setting: NR</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Industry Funded: Yes</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Treatment Duration supplement(s): 21</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Treatment DurationCVD Drug(s):</w:t>
            </w:r>
            <w:r w:rsidR="00DA0955">
              <w:rPr>
                <w:rFonts w:ascii="Arial" w:hAnsi="Arial" w:cs="Arial"/>
                <w:sz w:val="18"/>
                <w:szCs w:val="18"/>
              </w:rPr>
              <w:t xml:space="preserve"> </w:t>
            </w:r>
            <w:r w:rsidRPr="00DF7310">
              <w:rPr>
                <w:rFonts w:ascii="Arial" w:hAnsi="Arial" w:cs="Arial"/>
                <w:sz w:val="18"/>
                <w:szCs w:val="18"/>
              </w:rPr>
              <w:t>Single dose</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Duration of Followup: 7</w:t>
            </w:r>
          </w:p>
          <w:p w:rsidR="00980857" w:rsidRPr="00DF7310" w:rsidRDefault="00980857" w:rsidP="00DF7310">
            <w:pPr>
              <w:spacing w:after="0"/>
              <w:ind w:firstLine="0"/>
              <w:rPr>
                <w:rFonts w:ascii="Arial" w:hAnsi="Arial" w:cs="Arial"/>
                <w:sz w:val="18"/>
                <w:szCs w:val="18"/>
              </w:rPr>
            </w:pP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Duration of Longest Followup: 7</w:t>
            </w:r>
          </w:p>
        </w:tc>
        <w:tc>
          <w:tcPr>
            <w:tcW w:w="0" w:type="auto"/>
          </w:tcPr>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Generic Name(s): warfarin</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Drug Category: Anticoagulants</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 xml:space="preserve">Mode of Administration: Oral </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Mean Daily Dose: 25mg- 1 dose</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Reason for taking CVD drug(s): Pharmacokinetics and pharmackodynamic study</w:t>
            </w:r>
          </w:p>
        </w:tc>
        <w:tc>
          <w:tcPr>
            <w:tcW w:w="0" w:type="auto"/>
          </w:tcPr>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N: 12</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 xml:space="preserve">Supplement(s): Echinacea </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Form of Administration: Capsule/Tablet</w:t>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Daily Dose: 5100 mg</w:t>
            </w:r>
          </w:p>
        </w:tc>
        <w:tc>
          <w:tcPr>
            <w:tcW w:w="0" w:type="auto"/>
          </w:tcPr>
          <w:p w:rsidR="00980857" w:rsidRPr="00DF7310" w:rsidRDefault="00980857" w:rsidP="00DF7310">
            <w:pPr>
              <w:spacing w:after="0"/>
              <w:ind w:firstLine="0"/>
              <w:rPr>
                <w:rFonts w:ascii="Arial" w:hAnsi="Arial" w:cs="Arial"/>
                <w:sz w:val="18"/>
                <w:szCs w:val="18"/>
                <w:lang w:val="fr-CA"/>
              </w:rPr>
            </w:pPr>
            <w:r w:rsidRPr="00DF7310">
              <w:rPr>
                <w:rFonts w:ascii="Arial" w:hAnsi="Arial" w:cs="Arial"/>
                <w:sz w:val="18"/>
                <w:szCs w:val="18"/>
                <w:lang w:val="fr-CA"/>
              </w:rPr>
              <w:t>N1 = 12</w:t>
            </w:r>
          </w:p>
          <w:p w:rsidR="00980857" w:rsidRPr="00DF7310" w:rsidRDefault="00980857" w:rsidP="00DF7310">
            <w:pPr>
              <w:spacing w:after="0"/>
              <w:ind w:firstLine="0"/>
              <w:rPr>
                <w:rFonts w:ascii="Arial" w:hAnsi="Arial" w:cs="Arial"/>
                <w:sz w:val="18"/>
                <w:szCs w:val="18"/>
                <w:lang w:val="fr-CA"/>
              </w:rPr>
            </w:pPr>
          </w:p>
          <w:p w:rsidR="00980857" w:rsidRPr="00DF7310" w:rsidRDefault="00980857" w:rsidP="00DF7310">
            <w:pPr>
              <w:spacing w:after="0"/>
              <w:ind w:firstLine="0"/>
              <w:rPr>
                <w:rFonts w:ascii="Arial" w:hAnsi="Arial" w:cs="Arial"/>
                <w:sz w:val="18"/>
                <w:szCs w:val="18"/>
                <w:lang w:val="fr-CA"/>
              </w:rPr>
            </w:pPr>
            <w:r w:rsidRPr="00DF7310">
              <w:rPr>
                <w:rFonts w:ascii="Arial" w:hAnsi="Arial" w:cs="Arial"/>
                <w:sz w:val="18"/>
                <w:szCs w:val="18"/>
                <w:lang w:val="fr-CA"/>
              </w:rPr>
              <w:t xml:space="preserve"> No treatment</w:t>
            </w:r>
          </w:p>
          <w:p w:rsidR="00980857" w:rsidRPr="00DF7310" w:rsidRDefault="00980857" w:rsidP="00DF7310">
            <w:pPr>
              <w:spacing w:after="0"/>
              <w:ind w:firstLine="0"/>
              <w:rPr>
                <w:rFonts w:ascii="Arial" w:hAnsi="Arial" w:cs="Arial"/>
                <w:sz w:val="18"/>
                <w:szCs w:val="18"/>
                <w:lang w:val="fr-CA"/>
              </w:rPr>
            </w:pPr>
          </w:p>
          <w:p w:rsidR="00980857" w:rsidRPr="00DF7310" w:rsidRDefault="00980857" w:rsidP="00DF7310">
            <w:pPr>
              <w:spacing w:after="0"/>
              <w:ind w:firstLine="0"/>
              <w:rPr>
                <w:rFonts w:ascii="Arial" w:hAnsi="Arial" w:cs="Arial"/>
                <w:sz w:val="18"/>
                <w:szCs w:val="18"/>
                <w:lang w:val="fr-CA"/>
              </w:rPr>
            </w:pPr>
            <w:r w:rsidRPr="00DF7310">
              <w:rPr>
                <w:rFonts w:ascii="Arial" w:hAnsi="Arial" w:cs="Arial"/>
                <w:sz w:val="18"/>
                <w:szCs w:val="18"/>
                <w:lang w:val="fr-CA"/>
              </w:rPr>
              <w:t>N2 = 12</w:t>
            </w:r>
          </w:p>
          <w:p w:rsidR="00980857" w:rsidRPr="00DF7310" w:rsidRDefault="00980857" w:rsidP="00DF7310">
            <w:pPr>
              <w:spacing w:after="0"/>
              <w:ind w:firstLine="0"/>
              <w:rPr>
                <w:rFonts w:ascii="Arial" w:hAnsi="Arial" w:cs="Arial"/>
                <w:sz w:val="18"/>
                <w:szCs w:val="18"/>
                <w:lang w:val="fr-CA"/>
              </w:rPr>
            </w:pPr>
          </w:p>
          <w:p w:rsidR="00980857" w:rsidRPr="00DF7310" w:rsidRDefault="00980857" w:rsidP="00DF7310">
            <w:pPr>
              <w:spacing w:after="0"/>
              <w:ind w:firstLine="0"/>
              <w:rPr>
                <w:rFonts w:ascii="Arial" w:hAnsi="Arial" w:cs="Arial"/>
                <w:sz w:val="18"/>
                <w:szCs w:val="18"/>
                <w:lang w:val="fr-CA"/>
              </w:rPr>
            </w:pPr>
            <w:r w:rsidRPr="00DF7310">
              <w:rPr>
                <w:rFonts w:ascii="Arial" w:hAnsi="Arial" w:cs="Arial"/>
                <w:sz w:val="18"/>
                <w:szCs w:val="18"/>
                <w:lang w:val="fr-CA"/>
              </w:rPr>
              <w:t>policosanol (non-relevant supplement)</w:t>
            </w:r>
          </w:p>
        </w:tc>
        <w:tc>
          <w:tcPr>
            <w:tcW w:w="0" w:type="auto"/>
          </w:tcPr>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Non-CVD Medications:</w:t>
            </w:r>
            <w:r w:rsidR="00DA0955">
              <w:rPr>
                <w:rFonts w:ascii="Arial" w:hAnsi="Arial" w:cs="Arial"/>
                <w:sz w:val="18"/>
                <w:szCs w:val="18"/>
              </w:rPr>
              <w:t xml:space="preserve"> </w:t>
            </w:r>
            <w:r w:rsidRPr="00DF7310">
              <w:rPr>
                <w:rFonts w:ascii="Arial" w:hAnsi="Arial" w:cs="Arial"/>
                <w:sz w:val="18"/>
                <w:szCs w:val="18"/>
              </w:rPr>
              <w:t>NA</w:t>
            </w:r>
            <w:r w:rsidRPr="00DF7310">
              <w:rPr>
                <w:rFonts w:ascii="Arial" w:hAnsi="Arial" w:cs="Arial"/>
                <w:sz w:val="18"/>
                <w:szCs w:val="18"/>
              </w:rPr>
              <w:br/>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Dietary Intervention(s): No</w:t>
            </w:r>
            <w:r w:rsidRPr="00DF7310">
              <w:rPr>
                <w:rFonts w:ascii="Arial" w:hAnsi="Arial" w:cs="Arial"/>
                <w:sz w:val="18"/>
                <w:szCs w:val="18"/>
              </w:rPr>
              <w:br/>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Exercise Intervention(s): No</w:t>
            </w:r>
            <w:r w:rsidRPr="00DF7310">
              <w:rPr>
                <w:rFonts w:ascii="Arial" w:hAnsi="Arial" w:cs="Arial"/>
                <w:sz w:val="18"/>
                <w:szCs w:val="18"/>
              </w:rPr>
              <w:br/>
            </w:r>
          </w:p>
          <w:p w:rsidR="00980857" w:rsidRPr="00DF7310" w:rsidRDefault="00980857" w:rsidP="00DF7310">
            <w:pPr>
              <w:spacing w:after="0"/>
              <w:ind w:firstLine="0"/>
              <w:rPr>
                <w:rFonts w:ascii="Arial" w:hAnsi="Arial" w:cs="Arial"/>
                <w:sz w:val="18"/>
                <w:szCs w:val="18"/>
              </w:rPr>
            </w:pPr>
            <w:r w:rsidRPr="00DF7310">
              <w:rPr>
                <w:rFonts w:ascii="Arial" w:hAnsi="Arial" w:cs="Arial"/>
                <w:sz w:val="18"/>
                <w:szCs w:val="18"/>
              </w:rPr>
              <w:t>Other Lifestyle Intervention(s): No</w:t>
            </w:r>
          </w:p>
        </w:tc>
      </w:tr>
    </w:tbl>
    <w:p w:rsidR="00884628" w:rsidRDefault="00884628">
      <w:pPr>
        <w:spacing w:after="0"/>
        <w:ind w:firstLine="0"/>
      </w:pPr>
      <w:r>
        <w:br w:type="page"/>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5"/>
        <w:gridCol w:w="3350"/>
        <w:gridCol w:w="1575"/>
        <w:gridCol w:w="1990"/>
        <w:gridCol w:w="1777"/>
        <w:gridCol w:w="1390"/>
        <w:gridCol w:w="1833"/>
      </w:tblGrid>
      <w:tr w:rsidR="00884628" w:rsidRPr="00255472" w:rsidTr="00255472">
        <w:trPr>
          <w:divId w:val="249197538"/>
          <w:cantSplit/>
          <w:tblHeader/>
          <w:tblCellSpacing w:w="15" w:type="dxa"/>
        </w:trPr>
        <w:tc>
          <w:tcPr>
            <w:tcW w:w="4977" w:type="pct"/>
            <w:gridSpan w:val="7"/>
            <w:tcBorders>
              <w:top w:val="nil"/>
              <w:left w:val="nil"/>
              <w:bottom w:val="nil"/>
              <w:right w:val="nil"/>
            </w:tcBorders>
            <w:shd w:val="clear" w:color="auto" w:fill="auto"/>
            <w:tcMar>
              <w:top w:w="15" w:type="dxa"/>
              <w:left w:w="15" w:type="dxa"/>
              <w:bottom w:w="15" w:type="dxa"/>
              <w:right w:w="15" w:type="dxa"/>
            </w:tcMar>
            <w:vAlign w:val="center"/>
          </w:tcPr>
          <w:p w:rsidR="00884628" w:rsidRPr="00255472" w:rsidRDefault="00884628" w:rsidP="00255472">
            <w:pPr>
              <w:pStyle w:val="TableTitle"/>
            </w:pPr>
            <w:r w:rsidRPr="00255472">
              <w:lastRenderedPageBreak/>
              <w:t>Evidence Table 57. General characteristics of all studies (continued)</w:t>
            </w:r>
          </w:p>
        </w:tc>
      </w:tr>
      <w:tr w:rsidR="00884628" w:rsidRPr="00255472" w:rsidTr="00255472">
        <w:trPr>
          <w:divId w:val="249197538"/>
          <w:cantSplit/>
          <w:tblHeader/>
          <w:tblCellSpacing w:w="15" w:type="dxa"/>
        </w:trPr>
        <w:tc>
          <w:tcPr>
            <w:tcW w:w="423" w:type="pct"/>
            <w:tcBorders>
              <w:left w:val="nil"/>
            </w:tcBorders>
            <w:shd w:val="pct10" w:color="auto" w:fill="auto"/>
            <w:tcMar>
              <w:top w:w="15" w:type="dxa"/>
              <w:left w:w="15" w:type="dxa"/>
              <w:bottom w:w="15" w:type="dxa"/>
              <w:right w:w="15" w:type="dxa"/>
            </w:tcMar>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Author Year</w:t>
            </w:r>
          </w:p>
        </w:tc>
        <w:tc>
          <w:tcPr>
            <w:tcW w:w="1290" w:type="pct"/>
            <w:shd w:val="pct10" w:color="auto" w:fill="auto"/>
            <w:tcMar>
              <w:top w:w="15" w:type="dxa"/>
              <w:left w:w="15" w:type="dxa"/>
              <w:bottom w:w="15" w:type="dxa"/>
              <w:right w:w="15" w:type="dxa"/>
            </w:tcMar>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 xml:space="preserve">Population </w:t>
            </w:r>
          </w:p>
        </w:tc>
        <w:tc>
          <w:tcPr>
            <w:tcW w:w="600" w:type="pct"/>
            <w:shd w:val="pct10" w:color="auto" w:fill="auto"/>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Study</w:t>
            </w:r>
          </w:p>
        </w:tc>
        <w:tc>
          <w:tcPr>
            <w:tcW w:w="761" w:type="pct"/>
            <w:shd w:val="pct10" w:color="auto" w:fill="auto"/>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CVD Drug</w:t>
            </w:r>
          </w:p>
        </w:tc>
        <w:tc>
          <w:tcPr>
            <w:tcW w:w="679" w:type="pct"/>
            <w:shd w:val="pct10" w:color="auto" w:fill="auto"/>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Dietary Supplements</w:t>
            </w:r>
          </w:p>
        </w:tc>
        <w:tc>
          <w:tcPr>
            <w:tcW w:w="529" w:type="pct"/>
            <w:shd w:val="pct10" w:color="auto" w:fill="auto"/>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Control Group(s)</w:t>
            </w:r>
          </w:p>
        </w:tc>
        <w:tc>
          <w:tcPr>
            <w:tcW w:w="626" w:type="pct"/>
            <w:tcBorders>
              <w:right w:val="nil"/>
            </w:tcBorders>
            <w:shd w:val="pct10" w:color="auto" w:fill="auto"/>
            <w:vAlign w:val="center"/>
          </w:tcPr>
          <w:p w:rsidR="00884628" w:rsidRPr="00255472" w:rsidRDefault="00884628" w:rsidP="00884628">
            <w:pPr>
              <w:spacing w:after="0"/>
              <w:ind w:firstLine="0"/>
              <w:rPr>
                <w:rFonts w:ascii="Arial" w:hAnsi="Arial" w:cs="Arial"/>
                <w:b/>
                <w:sz w:val="18"/>
                <w:szCs w:val="18"/>
              </w:rPr>
            </w:pPr>
            <w:r w:rsidRPr="00255472">
              <w:rPr>
                <w:rFonts w:ascii="Arial" w:hAnsi="Arial" w:cs="Arial"/>
                <w:b/>
                <w:sz w:val="18"/>
                <w:szCs w:val="18"/>
              </w:rPr>
              <w:t>Other Interventions</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Aruna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2</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16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 included/randomized: 10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NR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subjects hypersensitive to study drugs, chronic smokers or alcoholics, and a history of gastrointestinal surgery that could interfere with absorption of study drugs</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healthy male subjects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Rest of Asia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General community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cilostazol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Vasodilator: Nitrates/PDE-5 Inhibitors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150mg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Pharmacokinetics and pharmackodynamic study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clopidogrel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 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112.5mg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Pharmacokinetics and pharmackodynamic study</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120mg single dose</w:t>
            </w: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N2 = 10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Avogaro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1974</w:t>
            </w:r>
            <w:r w:rsidRPr="00255472">
              <w:rPr>
                <w:rFonts w:ascii="Arial" w:hAnsi="Arial" w:cs="Arial"/>
                <w:noProof/>
                <w:sz w:val="18"/>
                <w:szCs w:val="18"/>
                <w:vertAlign w:val="superscript"/>
              </w:rPr>
              <w:t>3</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suffering from hyperlipoproteinemia; high levels of cholesterol and/or serum triglycerides at least twice after being on a balanced diet for two weeks. Classified on the basis of lipids and lipoproteins levels according to the criteria of Fredrickson et al. and recommendations of the WHO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Brief Description: Patients suffering from hyperlipoproteinemia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propranolol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b-blockers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20mg OR 60mg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Niacin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250 mg (and non-relevant dose of 750mg/day)</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N3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Intervention3:</w:t>
            </w: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Dietary Intervention(s): diet adjusted to bring each patient to ideal weight. The diet provided 45 % carbohydrates, 34 % fats, I5 % proteins and 6 % alcohol; 78% of carbohydrates </w:t>
            </w:r>
            <w:proofErr w:type="gramStart"/>
            <w:r w:rsidRPr="00255472">
              <w:rPr>
                <w:rFonts w:ascii="Arial" w:hAnsi="Arial" w:cs="Arial"/>
                <w:sz w:val="18"/>
                <w:szCs w:val="18"/>
              </w:rPr>
              <w:t>was</w:t>
            </w:r>
            <w:proofErr w:type="gramEnd"/>
            <w:r w:rsidRPr="00255472">
              <w:rPr>
                <w:rFonts w:ascii="Arial" w:hAnsi="Arial" w:cs="Arial"/>
                <w:sz w:val="18"/>
                <w:szCs w:val="18"/>
              </w:rPr>
              <w:t xml:space="preserve"> given as starches and 22% as sugars. For fats the P/S relationship was 1.87; the amount of dietary cholesterol did not exceed 200 mg.</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Balestrieri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1996</w:t>
            </w:r>
            <w:r w:rsidRPr="00255472">
              <w:rPr>
                <w:rFonts w:ascii="Arial" w:hAnsi="Arial" w:cs="Arial"/>
                <w:noProof/>
                <w:sz w:val="18"/>
                <w:szCs w:val="18"/>
                <w:vertAlign w:val="superscript"/>
              </w:rPr>
              <w:t>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42.5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Heterozygous FH diagnosed according to the criteria of Brown and Goldstein; normal thyroid, renal and hepatic function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diabetic, obese</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Group of heterozygous FH patients on long-term treatment with simvastatin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range 10-40mg</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Daily Dose: 5100mg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255472">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lipid lowering diet (Step 1 AHA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Barbagallo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1999</w:t>
            </w:r>
            <w:r w:rsidRPr="00255472">
              <w:rPr>
                <w:rFonts w:ascii="Arial" w:hAnsi="Arial" w:cs="Arial"/>
                <w:noProof/>
                <w:sz w:val="18"/>
                <w:szCs w:val="18"/>
                <w:vertAlign w:val="superscript"/>
              </w:rPr>
              <w:t>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47.05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Essential hypertension (outpatient blood pressure &gt;140/90 mm Hg on &gt;/=3 occasions and the absence of any history, physical examination, or laboratory evidence of secondary forms of hypertension)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Exclusion Criteria: Patients with diabetes </w:t>
            </w:r>
            <w:r w:rsidRPr="00255472">
              <w:rPr>
                <w:rFonts w:ascii="Arial" w:hAnsi="Arial" w:cs="Arial"/>
                <w:sz w:val="18"/>
                <w:szCs w:val="18"/>
              </w:rPr>
              <w:br/>
              <w:t>mellitus or glucose intolerance</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Patients with essential hypertension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furosemide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Diuretic: Loop</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25mg</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Daily Dose: 600mg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Bays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2010</w:t>
            </w:r>
            <w:r w:rsidRPr="00255472">
              <w:rPr>
                <w:rFonts w:ascii="Arial" w:hAnsi="Arial" w:cs="Arial"/>
                <w:noProof/>
                <w:sz w:val="18"/>
                <w:szCs w:val="18"/>
                <w:vertAlign w:val="superscript"/>
              </w:rPr>
              <w:t>6</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585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245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56.15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Caucasian (89)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Between ages 18-79;medically stable; Lipid criteria: non-HDL-C level greater than 160mg/dL and triglycerides between 250 and 599 mg/dL</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Use of nonstudy lipid lowering therapy;omega3 supplements;or niacin dosages &gt;400; known allergy to statins or omega3s; symptoms of muscle pain, tenderness or weakness 2mo before study; history of myopathy or rhabdomyolysis</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patients with combined hyperlipidemia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Yes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NR</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atorvastatin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 20 and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122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 plus atorvastatin</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none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National Cholesterol Education Program therapeutic lifestyle changes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Bays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2009</w:t>
            </w:r>
            <w:r w:rsidRPr="00255472">
              <w:rPr>
                <w:rFonts w:ascii="Arial" w:hAnsi="Arial" w:cs="Arial"/>
                <w:noProof/>
                <w:sz w:val="18"/>
                <w:szCs w:val="18"/>
                <w:vertAlign w:val="superscript"/>
              </w:rPr>
              <w:t>7</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596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52.05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26.35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(88)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Other (4)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overweight/obese; Type II Diabetes (20.5%)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men and women in good health between 18 and 79 years of age with a body mass index of &gt;/=25 kg/m2 and &lt;/=43 kg/m2; mean fasting TG level of &gt;/=500 mg/dL and &lt;1300 mg/dL as determined by the average of the 2 TG values obtained at 2 weeks before and 1 week prior to randomization; met the criteria for Fredrickson type IV dyslipidemia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use of warfarin, cyclic sex hormone therapy, or other agents known to affect lipid levels during the run-in or treatment period of the study; The use of cyclosporine, systemic corticosteroids, high-dose topical corticosteroids (1500 mg/d), androgens, phenytoin, isotretinoin, or thyroid hormones (except stable-dose replacement therapy for 2 months prior to week 6) during the study also was restricted. Subjects with a known sensitivity to seafood, EPA or DHA, in addition to any history of pancreatitis, significant renal, hepatic, biliary, or gastrointestinal disease, type 1 diabetes mellitus, or uncontrolled type 2 diabetes; Women who were pregnant, lactating, or were of childbearing potential and were not using a medically approved method of contraception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18-75 years old, overweight/obese, with dyslipidemia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Treatment Duration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fenofibrate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130mg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Reason for taking </w:t>
            </w:r>
            <w:r w:rsidRPr="00255472">
              <w:rPr>
                <w:rFonts w:ascii="Arial" w:hAnsi="Arial" w:cs="Arial"/>
                <w:sz w:val="18"/>
                <w:szCs w:val="18"/>
              </w:rPr>
              <w:lastRenderedPageBreak/>
              <w:t>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75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Daily Dose: 4000mg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75</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low saturated fat NCEP Therapeutic Lifestyle Changes (TLC)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Bender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1998</w:t>
            </w:r>
            <w:r w:rsidRPr="00255472">
              <w:rPr>
                <w:rFonts w:ascii="Arial" w:hAnsi="Arial" w:cs="Arial"/>
                <w:noProof/>
                <w:sz w:val="18"/>
                <w:szCs w:val="18"/>
                <w:vertAlign w:val="superscript"/>
              </w:rPr>
              <w:t>8</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53.5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54.5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(91)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between the ages of 18 and 70years, stable anticoagulation status (i.e., INR change no greater than1.63 for at least the past 3 consecutive months, with no warfarin dosage adjustments).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Exclusion Criteria: any new medication(s) other </w:t>
            </w:r>
            <w:r w:rsidRPr="00255472">
              <w:rPr>
                <w:rFonts w:ascii="Arial" w:hAnsi="Arial" w:cs="Arial"/>
                <w:sz w:val="18"/>
                <w:szCs w:val="18"/>
              </w:rPr>
              <w:br/>
              <w:t xml:space="preserve">than the study medications within 1 month of the </w:t>
            </w:r>
            <w:r w:rsidRPr="00255472">
              <w:rPr>
                <w:rFonts w:ascii="Arial" w:hAnsi="Arial" w:cs="Arial"/>
                <w:sz w:val="18"/>
                <w:szCs w:val="18"/>
              </w:rPr>
              <w:br/>
              <w:t xml:space="preserve">study, receiving concurrent therapy with salicylates or other nonsteroidal anti-inflammatory agents, </w:t>
            </w:r>
            <w:r w:rsidRPr="00255472">
              <w:rPr>
                <w:rFonts w:ascii="Arial" w:hAnsi="Arial" w:cs="Arial"/>
                <w:sz w:val="18"/>
                <w:szCs w:val="18"/>
              </w:rPr>
              <w:br/>
              <w:t xml:space="preserve">baseline platelet count less than100,000, history of a major bleeding episode while receiving warfarin therapy within the past 5 years, had active peptic ulcer disease within the previous 6 months, or </w:t>
            </w:r>
            <w:r w:rsidRPr="00255472">
              <w:rPr>
                <w:rFonts w:ascii="Arial" w:hAnsi="Arial" w:cs="Arial"/>
                <w:sz w:val="18"/>
                <w:szCs w:val="18"/>
              </w:rPr>
              <w:br/>
              <w:t xml:space="preserve">cerebrovascular disease, uncontrolled hypertension, or surgery/trauma within the previous 3 months. Women who </w:t>
            </w:r>
            <w:r w:rsidRPr="00255472">
              <w:rPr>
                <w:rFonts w:ascii="Arial" w:hAnsi="Arial" w:cs="Arial"/>
                <w:sz w:val="18"/>
                <w:szCs w:val="18"/>
              </w:rPr>
              <w:lastRenderedPageBreak/>
              <w:t>were pregnant or of child-bearing potential who were not using an acceptable means of contraception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Description:Patients receiving chronic warfarin therapy for indications requiring oral anticoagulation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3000 or 6000mg</w:t>
            </w:r>
          </w:p>
        </w:tc>
        <w:tc>
          <w:tcPr>
            <w:tcW w:w="529" w:type="pct"/>
          </w:tcPr>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Placebo (matching; R.P. Schering Pharmaceuticals</w:t>
            </w: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Corporation)</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Bordia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1998</w:t>
            </w:r>
            <w:r w:rsidRPr="00255472">
              <w:rPr>
                <w:rFonts w:ascii="Arial" w:hAnsi="Arial" w:cs="Arial"/>
                <w:noProof/>
                <w:sz w:val="18"/>
                <w:szCs w:val="18"/>
                <w:vertAlign w:val="superscript"/>
              </w:rPr>
              <w:t>9</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60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CAD and with old healed MI (&gt; 6 months) with or without angina.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CAD</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Controlled clinical trial (CCT)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90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Nitrates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Vasodilator: Nitrates/PDE-5 Inhibitors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30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Garlic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30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Budoff 2004</w:t>
            </w:r>
            <w:r w:rsidRPr="00255472">
              <w:rPr>
                <w:rFonts w:ascii="Arial" w:hAnsi="Arial" w:cs="Arial"/>
                <w:noProof/>
                <w:sz w:val="18"/>
                <w:szCs w:val="18"/>
                <w:vertAlign w:val="superscript"/>
              </w:rPr>
              <w:t>10</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59.6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known coronary artery disease or high risk for coronary artery disease, with a 10-year Framingham risk of developing coronary artery disease of &gt;20%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Exclusion Criteria: A contraindication to Aged Garlic Extract therapy including: known hypersensitivity to drug; Weight in excess of 300 lb; Serum creatinine &gt;1.4 mg/d; Triglycerides &gt;400 at visit; Drug or alcohol abuse, or current intake of more than 14 standard drinks per week; Concurrent enrollment in another placebo-controlled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Trial; Presence of metal clips or stenting that preclude accurate measure of coronary calcification and angiographic disease by electron beam tomography; Partial ileal bypass or known gastrointestinal disease limiting drug absorption; Current intake of garlic supplement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known coronary artery disease or high risk for coronary artery disease</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North America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Generic Name(s): Statin </w:t>
            </w:r>
          </w:p>
          <w:p w:rsidR="00980857" w:rsidRPr="00255472" w:rsidRDefault="00980857" w:rsidP="00DF7310">
            <w:pPr>
              <w:spacing w:after="0"/>
              <w:ind w:firstLine="0"/>
              <w:rPr>
                <w:rStyle w:val="apple-style-span"/>
                <w:rFonts w:ascii="Arial" w:eastAsia="Times" w:hAnsi="Arial" w:cs="Arial"/>
                <w:sz w:val="18"/>
                <w:szCs w:val="18"/>
              </w:rPr>
            </w:pPr>
            <w:r w:rsidRPr="00255472">
              <w:rPr>
                <w:rFonts w:ascii="Arial" w:hAnsi="Arial" w:cs="Arial"/>
                <w:sz w:val="18"/>
                <w:szCs w:val="18"/>
              </w:rPr>
              <w:t xml:space="preserve">Drug Category: </w:t>
            </w:r>
            <w:r w:rsidRPr="00255472">
              <w:rPr>
                <w:rStyle w:val="apple-style-span"/>
                <w:rFonts w:ascii="Arial" w:eastAsia="Times" w:hAnsi="Arial" w:cs="Arial"/>
                <w:sz w:val="18"/>
                <w:szCs w:val="18"/>
              </w:rPr>
              <w:t>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Range of 10-40mg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Garlic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Liquid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 ml</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NA</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NA</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All participants were educated on a low-cholesterol diet at entry to the study by the nurse coordinator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Caso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11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60.63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treated for hyperlipidemia with statin; under current NCEP guidelines and reporting myopathic symptoms (only if no other identifiable cause of myopathy could be determined)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Clinical evidence of hepatic, vascular, renal or endocrine disease;coagulopathy; or other serious medical conditions; none were using CoQ10, Vit E or anticoagulants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using statins with myopathic pain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 (22); Atorvastatin (7); Pravastatin (2); Lovastatin (1)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varying doses for all patients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Coenzyme Q10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14</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Vitamin E, 400IU</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nonsteroidal anti-inflammatory drugs taken by 9 patients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patients were already following Adult Treatment Panel III/National Cholesterol Education Program guidelines</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Chan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2002</w:t>
            </w:r>
            <w:r w:rsidRPr="00255472">
              <w:rPr>
                <w:rFonts w:ascii="Arial" w:hAnsi="Arial" w:cs="Arial"/>
                <w:noProof/>
                <w:sz w:val="18"/>
                <w:szCs w:val="18"/>
                <w:vertAlign w:val="superscript"/>
              </w:rPr>
              <w:t>12</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52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52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53.23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obese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obese (BMI&gt;29kgm-2); dyslipidemia (LDL-C&gt;2.6mmol L-1, non HDL-C&gt;3.4mmolL-1 and triglycerides&gt;1.2mmolL-1); weight-maintenance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diabetes;apolipoprotein E2/D2 genotype;macroproteinuria;creatinaemia(&gt;120umolL-1);hypothyroidism;abnormal liver and muscle enzymes; consumed fish oil supplements; more than 30g alcohol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viscerally obese men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Atorvastatin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N1 =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Placebo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N2 =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fish oil + atorvastatin placebo</w:t>
            </w: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isocaloric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keep their physical activity constant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d'Arcangues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2004</w:t>
            </w:r>
            <w:r w:rsidRPr="00255472">
              <w:rPr>
                <w:rFonts w:ascii="Arial" w:hAnsi="Arial" w:cs="Arial"/>
                <w:noProof/>
                <w:sz w:val="18"/>
                <w:szCs w:val="18"/>
                <w:vertAlign w:val="superscript"/>
              </w:rPr>
              <w:t>13</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9297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between 18 and 38 years old, nonpregnant and nonlactating and had been using the implantable contraceptive Norplant for 1 to 6 months. Able to keep a menstrual diary, willing to return to the clinic at prescribed intervals, agreed not to use vitamins, aspirin, anti-inflammatory drugs, steroids or any other drug that might affect the vaginal bleeding pattern (other than those prescribed in the trial) during the trial or for 3 weeks prior to admission.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they had a last injection of DMPA within 6 months or a last injection of norethisterone enanthate (NET-EN) within 4 months, previous</w:t>
            </w:r>
            <w:r w:rsidRPr="00255472">
              <w:rPr>
                <w:rFonts w:ascii="Arial" w:hAnsi="Arial" w:cs="Arial"/>
                <w:sz w:val="18"/>
                <w:szCs w:val="18"/>
              </w:rPr>
              <w:br/>
              <w:t>immediate use of Norplant or levonorgestrel-releasing intrauterine device, hemoglobin level lower than 8 g/dl,known hypersensitivity to aspirin or vitamin E or had participated in the pilot study of vitamin E previously conducted in Jakarta.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bleeding with Norplant-induced prolonged vaginal bleeding</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Multiple (East Asia, Central &amp; South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360</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360</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80mg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Reason for taking CVD drug(s): Norplant-induced </w:t>
            </w:r>
            <w:r w:rsidRPr="00255472">
              <w:rPr>
                <w:rFonts w:ascii="Arial" w:hAnsi="Arial" w:cs="Arial"/>
                <w:sz w:val="18"/>
                <w:szCs w:val="18"/>
              </w:rPr>
              <w:lastRenderedPageBreak/>
              <w:t>prolonged vaginal bleeding</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120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122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123</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Davidson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14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690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59.8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42.5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(95.7)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(1.6)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Asian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between ages 18-79;receiving stable does of statin for control of LDL-C levels for&gt;8weeks;mean fasting T G level&gt;200 and&lt;500mg/dL, and a mean LDL-C level below or within 10% of the patient's NCEP ATP</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poorly controlled diabetes (HbA1c&gt;8%); history of CV; revascularization procedure or aortic aneurysm within 6mo of screening; history of pancreatitis;sensitivity to statins or omega3s;poorly controlled hypertension (resting blood pressure&gt;160mmHg systolic and/or_&gt;100mm Hg; serum creatinine level_&gt;2.0 mg/dL;serum transaminase&gt;1.5 times the upper limit of normal;creatine kinase levels&gt;2 times the ULN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persistent hypertriglyceridemia despite statin therapy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Treatment Duration supplement(s):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Mean Daily Dose: </w:t>
            </w:r>
            <w:r w:rsidRPr="00255472">
              <w:rPr>
                <w:rFonts w:ascii="Arial" w:hAnsi="Arial" w:cs="Arial"/>
                <w:sz w:val="18"/>
                <w:szCs w:val="18"/>
              </w:rPr>
              <w:lastRenderedPageBreak/>
              <w:t>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123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133</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NCEP Therapeutic Lifestyle Changes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Davidson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1997</w:t>
            </w:r>
            <w:r w:rsidRPr="00255472">
              <w:rPr>
                <w:rFonts w:ascii="Arial" w:hAnsi="Arial" w:cs="Arial"/>
                <w:noProof/>
                <w:sz w:val="18"/>
                <w:szCs w:val="18"/>
                <w:vertAlign w:val="superscript"/>
              </w:rPr>
              <w:t>15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46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Serum lipid values determined as mean values from 2 fasting measurements taken 1 week apart. Qualifying lipid concentrations were LDL cholesterol &gt;/ 160 and &lt;/ 240 mg/dl, HDL &lt;/ 50mg/dl for men and &lt;/60 mg/dl for women, and fasting triglycerides of 200 to 600 mg/dl after &gt;/ 4 weeks following a National Cholesterol Education Program Step I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Hyperlipidemic subjects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10mg</w:t>
            </w: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N2 = 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Fish oil </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De, Caterina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2002</w:t>
            </w:r>
            <w:r w:rsidRPr="00255472">
              <w:rPr>
                <w:rFonts w:ascii="Arial" w:hAnsi="Arial" w:cs="Arial"/>
                <w:noProof/>
                <w:sz w:val="18"/>
                <w:szCs w:val="18"/>
                <w:vertAlign w:val="superscript"/>
              </w:rPr>
              <w:t>16</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63.1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diabetes (19%)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hypercholesterolemic subjects (Fredrickson IIa or IIb) with serum cholesterol 200 mg/dL and proven vascular (coronary, carotid, or peripheral arterial) disease.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hypercholesterolemic subjects with proven vascular disease</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30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600mg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Dehmer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1988</w:t>
            </w:r>
            <w:r w:rsidRPr="00255472">
              <w:rPr>
                <w:rFonts w:ascii="Arial" w:hAnsi="Arial" w:cs="Arial"/>
                <w:noProof/>
                <w:sz w:val="18"/>
                <w:szCs w:val="18"/>
                <w:vertAlign w:val="superscript"/>
              </w:rPr>
              <w:t>17</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149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90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diabetes 28% in control groupl; 21% in treatment group</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male patients referred to laboratory for angioplasty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age over 80 years, severe confounding medical problems, angioplasties for restenosis that had developed after an earlier procedure; acute MI or unstable ischemic symptoms that persisted despite all medical therapies.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male patients undergoing angioplasty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270,360</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360</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w:t>
            </w:r>
            <w:r w:rsidR="00DA0955">
              <w:rPr>
                <w:rFonts w:ascii="Arial" w:hAnsi="Arial" w:cs="Arial"/>
                <w:sz w:val="18"/>
                <w:szCs w:val="18"/>
              </w:rPr>
              <w:t xml:space="preserve"> </w:t>
            </w:r>
            <w:r w:rsidRPr="00255472">
              <w:rPr>
                <w:rFonts w:ascii="Arial" w:hAnsi="Arial" w:cs="Arial"/>
                <w:sz w:val="18"/>
                <w:szCs w:val="18"/>
              </w:rPr>
              <w:t>dipyridamole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w:t>
            </w:r>
            <w:r w:rsidR="00DA0955">
              <w:rPr>
                <w:rFonts w:ascii="Arial" w:hAnsi="Arial" w:cs="Arial"/>
                <w:sz w:val="18"/>
                <w:szCs w:val="18"/>
              </w:rPr>
              <w:t xml:space="preserve"> </w:t>
            </w:r>
            <w:r w:rsidRPr="00255472">
              <w:rPr>
                <w:rFonts w:ascii="Arial" w:hAnsi="Arial" w:cs="Arial"/>
                <w:sz w:val="18"/>
                <w:szCs w:val="18"/>
              </w:rPr>
              <w:t>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Calcium channel 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43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3200mg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39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Desideri</w:t>
            </w: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lastRenderedPageBreak/>
              <w:t>2003</w:t>
            </w:r>
            <w:r w:rsidRPr="00255472">
              <w:rPr>
                <w:rFonts w:ascii="Arial" w:hAnsi="Arial" w:cs="Arial"/>
                <w:noProof/>
                <w:sz w:val="18"/>
                <w:szCs w:val="18"/>
                <w:vertAlign w:val="superscript"/>
                <w:lang w:val="fr-CA"/>
              </w:rPr>
              <w:t>18</w:t>
            </w:r>
            <w:r w:rsidRPr="00255472">
              <w:rPr>
                <w:rFonts w:ascii="Arial" w:hAnsi="Arial" w:cs="Arial"/>
                <w:sz w:val="18"/>
                <w:szCs w:val="18"/>
                <w:lang w:val="fr-CA"/>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screened: 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included/randomized: 67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47.7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Inclusion Criteria: Serum LDL-cholesterol levels of more than 5.2 mmol/liter and less than 7.8 mmol/liter adn fasting triglycerdie levels </w:t>
            </w:r>
            <w:proofErr w:type="gramStart"/>
            <w:r w:rsidRPr="00255472">
              <w:rPr>
                <w:rFonts w:ascii="Arial" w:hAnsi="Arial" w:cs="Arial"/>
                <w:sz w:val="18"/>
                <w:szCs w:val="18"/>
              </w:rPr>
              <w:t>of less than 1.7 mmol/liter</w:t>
            </w:r>
            <w:proofErr w:type="gramEnd"/>
            <w:r w:rsidRPr="00255472">
              <w:rPr>
                <w:rFonts w:ascii="Arial" w:hAnsi="Arial" w:cs="Arial"/>
                <w:sz w:val="18"/>
                <w:szCs w:val="18"/>
              </w:rPr>
              <w:t xml:space="preserve"> after 30d on an American heart step I diet. Normal M-mode and B-mode echocardiograms and 12-lead electrocardiogram</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age of less than 25 year or higher than 55 year, pregnancy, concomitant diseases, personal history of previous cerebro-or cardiovascular disease, diabetes of either type I or II, hypertension, obesity, smoking, drug consumption (including vitamins, aspritin, birth control) alcohol intake of more than 10g, proteinuria, serum reatine of more than 100microM or atherosclerotic lesions of the neck and limb vessels, Patients with allergic diasthesis regaring both type I adn type II immune responses and/or reporting respiratory, GI or genotourinary tracts infections during the last 3 months.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Brief Description: Hypercholesterolemic </w:t>
            </w:r>
            <w:r w:rsidRPr="00255472">
              <w:rPr>
                <w:rFonts w:ascii="Arial" w:hAnsi="Arial" w:cs="Arial"/>
                <w:sz w:val="18"/>
                <w:szCs w:val="18"/>
              </w:rPr>
              <w:lastRenderedPageBreak/>
              <w:t>patients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xml:space="preserve">Study Design: </w:t>
            </w:r>
            <w:r w:rsidRPr="00255472">
              <w:rPr>
                <w:rFonts w:ascii="Arial" w:hAnsi="Arial" w:cs="Arial"/>
                <w:sz w:val="18"/>
                <w:szCs w:val="18"/>
              </w:rPr>
              <w:lastRenderedPageBreak/>
              <w:t>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xml:space="preserve">Generic Name(s): </w:t>
            </w:r>
            <w:r w:rsidRPr="00255472">
              <w:rPr>
                <w:rFonts w:ascii="Arial" w:hAnsi="Arial" w:cs="Arial"/>
                <w:sz w:val="18"/>
                <w:szCs w:val="18"/>
              </w:rPr>
              <w:lastRenderedPageBreak/>
              <w:t>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w:t>
            </w:r>
            <w:r w:rsidR="00DA0955">
              <w:rPr>
                <w:rFonts w:ascii="Arial" w:hAnsi="Arial" w:cs="Arial"/>
                <w:sz w:val="18"/>
                <w:szCs w:val="18"/>
              </w:rPr>
              <w:t xml:space="preserve"> </w:t>
            </w:r>
            <w:r w:rsidRPr="00255472">
              <w:rPr>
                <w:rFonts w:ascii="Arial" w:hAnsi="Arial" w:cs="Arial"/>
                <w:sz w:val="18"/>
                <w:szCs w:val="18"/>
              </w:rPr>
              <w:t>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Bezafibrate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800mg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31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400IU</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N1 = 19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N2 = 17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xml:space="preserve">Non-CVD </w:t>
            </w:r>
            <w:r w:rsidRPr="00255472">
              <w:rPr>
                <w:rFonts w:ascii="Arial" w:hAnsi="Arial" w:cs="Arial"/>
                <w:sz w:val="18"/>
                <w:szCs w:val="18"/>
              </w:rPr>
              <w:lastRenderedPageBreak/>
              <w:t>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Di Spirito 2008</w:t>
            </w:r>
            <w:r w:rsidRPr="00255472">
              <w:rPr>
                <w:rFonts w:ascii="Arial" w:hAnsi="Arial" w:cs="Arial"/>
                <w:noProof/>
                <w:sz w:val="18"/>
                <w:szCs w:val="18"/>
                <w:vertAlign w:val="superscript"/>
              </w:rPr>
              <w:t>19</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50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35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(98)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Women who were pregnant or lactating or who were planning a pregnancy; Individuals with a history of hypersensitivity or allergy to study medications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non-smoking men and women within 15% of ideal body weight</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Research Facility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1</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atorvastatin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 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80mg</w:t>
            </w: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Reason for taking CVD drug(s): pharmacokinetics of atorvastatin and P-OM3</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 (EPA, DHA or both)</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50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Non-CVD Medications: hormonal contraceptives (portion NR)</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Dietary Intervention(s): No </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Duffy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2001</w:t>
            </w:r>
            <w:r w:rsidRPr="00255472">
              <w:rPr>
                <w:rFonts w:ascii="Arial" w:hAnsi="Arial" w:cs="Arial"/>
                <w:noProof/>
                <w:sz w:val="18"/>
                <w:szCs w:val="18"/>
                <w:vertAlign w:val="superscript"/>
              </w:rPr>
              <w:t>20</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28.7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hypercholesterolaemia (total cholesterol and LDL levels were above the 75th percentile for age and gender based on NHFA Risk Factor Prevalence Study)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any other risk factor for CAD, cardiovascular disease, any other major disease; volunteers on CV medications or vitamin supplements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young patients with hypercholesterolaemia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Australia)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starting dose 10mg; ending dose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1000 IU</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7</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 </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7</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N3 = 6</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Intervention3: Vitamin E </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estrogen-based oral contraceptives (portion of population)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dietary advice and information sheets on cholesterol lowering diets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Eritsland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1996</w:t>
            </w:r>
            <w:r w:rsidRPr="00255472">
              <w:rPr>
                <w:rFonts w:ascii="Arial" w:hAnsi="Arial" w:cs="Arial"/>
                <w:noProof/>
                <w:sz w:val="18"/>
                <w:szCs w:val="18"/>
                <w:vertAlign w:val="superscript"/>
              </w:rPr>
              <w:t>21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291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60.49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12.5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Comorbidities (other than indication(s) for CVDs): Diabetes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admitted for coronary artery bypass grafting without concomitant cardiac surgery.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medical containdications to any of the treatment principles; refused participation; early (&lt;2 days) perioperative death or complications; presumed lack of compliance; indication for anticoagulation; administrative reasons</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Subjects undergoing coronary artery bypass grafting without surgery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365</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365</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300mg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 143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148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Verbal and written dietary advice; decreased intake of saturated fatty acids advised; told to refrain from cod-liver oil and other fish oil products; dietary records obtained from a random sample.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Eritsland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1996</w:t>
            </w:r>
            <w:r w:rsidRPr="00255472">
              <w:rPr>
                <w:rFonts w:ascii="Arial" w:hAnsi="Arial" w:cs="Arial"/>
                <w:noProof/>
                <w:sz w:val="18"/>
                <w:szCs w:val="18"/>
                <w:vertAlign w:val="superscript"/>
              </w:rPr>
              <w:t>21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319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59.54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13.8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Comorbidities (other than indication(s) for CVDs): Diabetes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admitted for coronary artery bypass grafting without concomitant cardiac surgery.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medical containdications to any of the treatment principles; refused participation; early (&lt;2 days) perioperative death or complications; presumed lack of compliance; indication for anticoagulation; administrative reasons</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Subjects undergoing coronary artery bypass grafting without surgery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365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365</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174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145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Verbal and written dietary advice; decreased intake of saturated fatty acids advised; told to refrain from cod-liver oil and other fish oil products; dietary records obtained from a random sample.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Ferraro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2009</w:t>
            </w:r>
            <w:r w:rsidRPr="00255472">
              <w:rPr>
                <w:rFonts w:ascii="Arial" w:hAnsi="Arial" w:cs="Arial"/>
                <w:noProof/>
                <w:sz w:val="18"/>
                <w:szCs w:val="18"/>
                <w:vertAlign w:val="superscript"/>
              </w:rPr>
              <w:t>22</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36.6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biopsy-proven IgAN and persistent proteinuria (&gt;200 mg) despite treatment with ACE inhibitors and/or ARB. only patients with at least two positive determinations were included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dialysis or kidney transplantation, diabetes mellitus, Henochâ€“Schoenlein purpura, systemic lupus erythematosus and an active or recent (&lt;1 year) treatment with immunosuppressors and/or PUFA.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biopsy-proven IgAN and persistent proteinuria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884628">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ramipril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RAAS Antagonist: ACEI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IgA nephropathy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15</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Steroid 60 days prior to randomization in 1 vs. 2 pts (Irbesartan 300mg)</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Gardner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23</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188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67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68.5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(75)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(13)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experienced leg pain during walking that was characteristic of the intermittent claudication symptom of PAD, or who might be at risk for PAD due to either a family history of cardiovascular disease (CVD) or elevated CVD risk factors.Older than 18 years of age, had not been taking (for at least 1 month prior to randomization) and did not plan to take (for the duration of the study) any medications or dietary supplements known to affect blood coagulation, and were able to tolerate daily use of aspirin for 6 weeks.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adult patients at risk for PAD not taking any medications known to affect blood coagulation and able to tolerate aspirin for 6 weeks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Region:NR (likely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26</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Garg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1995</w:t>
            </w:r>
            <w:r w:rsidRPr="00255472">
              <w:rPr>
                <w:rFonts w:ascii="Arial" w:hAnsi="Arial" w:cs="Arial"/>
                <w:noProof/>
                <w:sz w:val="18"/>
                <w:szCs w:val="18"/>
                <w:vertAlign w:val="superscript"/>
              </w:rPr>
              <w:t>24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98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62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54.19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29.6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acute ischemic stroke, either sex with sudden hemoplegia of either side with or without speech involvement, with cranial CT scan (non-contrast enhanced) showing a hypodense lesion (infarct) in the territory of either middle cerebral artery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ischemia in posterior cerebral territory, overt systemic disease (e.g. recent myocardial infarction, renal failure, severe systemic infection, deeply comatose.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acute ischemic stroke</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Rest of Asia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14</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240mg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26</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antibiotics and short-term glucocorticoids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Glynn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25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453787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65169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100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(94.8)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(1.1)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(1.4)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Other (0.4)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Obesity (18%), Type II Diabetes (portion), women with deep vein thrombosis or pulmonary embolism were not excluded (portion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age 45 years or older; no previous history of coronary heart disease, cerebrovascular disease, cancer (except nonmelanoma skin cancer), or other major chronic illnesses; no history of adverse effects from aspirin; no use of aspirin or nonsteroidal anti-inflammatory drugs (NSAIDs) more than once a week, or willingness to forgo their use; no use of anticoagulants or corticosteroids; and no use of individual supplements of vitamin A, E, or beta carotene more than once a week.</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women who currently used anticoagulants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women not currently using anticoagulants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General community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3650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3650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3650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3650</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Mean Daily Dose: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100mg/every other day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prevention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19,937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600IU/every other day</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19,939</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Hormone therapy (30%)</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Gosai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2008</w:t>
            </w:r>
            <w:r w:rsidRPr="00255472">
              <w:rPr>
                <w:rFonts w:ascii="Arial" w:hAnsi="Arial" w:cs="Arial"/>
                <w:noProof/>
                <w:sz w:val="18"/>
                <w:szCs w:val="18"/>
                <w:vertAlign w:val="superscript"/>
              </w:rPr>
              <w:t>26</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37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(42)</w:t>
            </w:r>
            <w:r w:rsidRPr="00255472">
              <w:rPr>
                <w:rFonts w:ascii="Arial" w:hAnsi="Arial" w:cs="Arial"/>
                <w:sz w:val="18"/>
                <w:szCs w:val="18"/>
              </w:rPr>
              <w:br/>
              <w:t xml:space="preserve"> - Other (arabic, african or undefined ethnicity) (6)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non-smoking men and women between the ages of 18 and 55 years who were within 15% of ideal body weight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Women who were pregnant, lactating, or planning a pregnancy; individuals with a history of hypersensitivity or allergy to study medications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adult volunteers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1</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rosuvastatin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drug(s):Pharmacokinetics and pharmackodynamic study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48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 (EPA, DHA or both)</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48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Non-CVD Medications: hormonal contraceptives (portion NR)</w:t>
            </w:r>
            <w:r w:rsidRPr="00255472">
              <w:rPr>
                <w:rFonts w:ascii="Arial" w:hAnsi="Arial" w:cs="Arial"/>
                <w:sz w:val="18"/>
                <w:szCs w:val="18"/>
                <w:lang w:val="fr-CA"/>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meal plans provided 4 and 9h after each dosing</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Govil 1979</w:t>
            </w:r>
            <w:r w:rsidRPr="00255472">
              <w:rPr>
                <w:rFonts w:ascii="Arial" w:hAnsi="Arial" w:cs="Arial"/>
                <w:noProof/>
                <w:sz w:val="18"/>
                <w:szCs w:val="18"/>
                <w:vertAlign w:val="superscript"/>
              </w:rPr>
              <w:t>27</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w:t>
            </w:r>
            <w:r w:rsidR="00DA0955">
              <w:rPr>
                <w:rFonts w:ascii="Arial" w:hAnsi="Arial" w:cs="Arial"/>
                <w:sz w:val="18"/>
                <w:szCs w:val="18"/>
              </w:rPr>
              <w:t xml:space="preserve"> </w:t>
            </w:r>
            <w:r w:rsidRPr="00255472">
              <w:rPr>
                <w:rFonts w:ascii="Arial" w:hAnsi="Arial" w:cs="Arial"/>
                <w:sz w:val="18"/>
                <w:szCs w:val="18"/>
              </w:rPr>
              <w:t>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congestive cardiac failure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renal insufficiency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of congestive cardiac failure</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Controlled Clinical Trial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Rest of Asia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8</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Digoxin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Inotropics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Diuretics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Diuretic: Loop</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Magnesium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Liquid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Capsule/Tablet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396 mEq</w:t>
            </w: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60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lastRenderedPageBreak/>
              <w:t>Hajda, 2010</w:t>
            </w:r>
            <w:r w:rsidRPr="00255472">
              <w:rPr>
                <w:rFonts w:ascii="Arial" w:hAnsi="Arial" w:cs="Arial"/>
                <w:noProof/>
                <w:sz w:val="18"/>
                <w:szCs w:val="18"/>
                <w:vertAlign w:val="superscript"/>
              </w:rPr>
              <w:t>28</w:t>
            </w:r>
          </w:p>
        </w:tc>
        <w:tc>
          <w:tcPr>
            <w:tcW w:w="1290" w:type="pct"/>
            <w:tcMar>
              <w:top w:w="15" w:type="dxa"/>
              <w:left w:w="15" w:type="dxa"/>
              <w:bottom w:w="15" w:type="dxa"/>
              <w:right w:w="15" w:type="dxa"/>
            </w:tcMar>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 included/randomized: 10</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Age:</w:t>
            </w:r>
            <w:r w:rsidR="00DA0955">
              <w:rPr>
                <w:rFonts w:ascii="Arial" w:hAnsi="Arial" w:cs="Arial"/>
                <w:sz w:val="18"/>
                <w:szCs w:val="18"/>
              </w:rPr>
              <w:t xml:space="preserve"> </w:t>
            </w:r>
            <w:r w:rsidRPr="00255472">
              <w:rPr>
                <w:rFonts w:ascii="Arial" w:hAnsi="Arial" w:cs="Arial"/>
                <w:sz w:val="18"/>
                <w:szCs w:val="18"/>
              </w:rPr>
              <w:t>28.8</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Ethnicity: Caucasian </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Comorbidities (other than indication(s) for CVDs: None</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CHD Risk Level: At low risk for CHD </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Inclusion Criteria: healthy male subjects (based on physical examinations, standard clinical chemistry and hematology analyses) </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Brief Description: patients of congestive cardiac failure</w:t>
            </w:r>
          </w:p>
          <w:p w:rsidR="00980857" w:rsidRPr="00255472" w:rsidRDefault="00980857" w:rsidP="00C244AF">
            <w:pPr>
              <w:spacing w:after="0"/>
              <w:ind w:firstLine="0"/>
              <w:rPr>
                <w:rFonts w:ascii="Arial" w:hAnsi="Arial" w:cs="Arial"/>
                <w:sz w:val="18"/>
                <w:szCs w:val="18"/>
              </w:rPr>
            </w:pPr>
          </w:p>
        </w:tc>
        <w:tc>
          <w:tcPr>
            <w:tcW w:w="600"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Study Design: Randomized cross over (the design may not fit the exact description of RCT for this review)</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Setting: Unclear</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Treatment Duration </w:t>
            </w:r>
            <w:r w:rsidRPr="00255472">
              <w:rPr>
                <w:rFonts w:ascii="Arial" w:hAnsi="Arial" w:cs="Arial"/>
                <w:sz w:val="18"/>
                <w:szCs w:val="18"/>
                <w:vertAlign w:val="subscript"/>
              </w:rPr>
              <w:t>supplement(s)</w:t>
            </w:r>
            <w:r w:rsidRPr="00255472">
              <w:rPr>
                <w:rFonts w:ascii="Arial" w:hAnsi="Arial" w:cs="Arial"/>
                <w:sz w:val="18"/>
                <w:szCs w:val="18"/>
              </w:rPr>
              <w:t>: 21 days</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Treatment Duration</w:t>
            </w:r>
            <w:r w:rsidRPr="00255472">
              <w:rPr>
                <w:rFonts w:ascii="Arial" w:hAnsi="Arial" w:cs="Arial"/>
                <w:sz w:val="18"/>
                <w:szCs w:val="18"/>
                <w:vertAlign w:val="subscript"/>
              </w:rPr>
              <w:t xml:space="preserve">CVD Drug(s): </w:t>
            </w:r>
            <w:r w:rsidRPr="00255472">
              <w:rPr>
                <w:rFonts w:ascii="Arial" w:hAnsi="Arial" w:cs="Arial"/>
                <w:sz w:val="18"/>
                <w:szCs w:val="18"/>
              </w:rPr>
              <w:t>21 days</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Followup: 21 days</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22 days</w:t>
            </w:r>
          </w:p>
        </w:tc>
        <w:tc>
          <w:tcPr>
            <w:tcW w:w="761"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Generic Name(s): Statins (pravastatin, or simvastatin)</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Daily Dose: 20 mg</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drug(s):non- Cardiovascular indication</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Generic Name(s): </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 non-Cardiovascular indication</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p>
        </w:tc>
        <w:tc>
          <w:tcPr>
            <w:tcW w:w="679"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 10</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Supplement(s): Garlic</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Form of Administration: Capsule/Tablet </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Daily Dose: 600 mg bid (twice daily)</w:t>
            </w:r>
          </w:p>
        </w:tc>
        <w:tc>
          <w:tcPr>
            <w:tcW w:w="529"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w:t>
            </w:r>
            <w:r w:rsidRPr="00255472">
              <w:rPr>
                <w:rFonts w:ascii="Arial" w:hAnsi="Arial" w:cs="Arial"/>
                <w:sz w:val="18"/>
                <w:szCs w:val="18"/>
                <w:vertAlign w:val="subscript"/>
              </w:rPr>
              <w:t>1</w:t>
            </w:r>
            <w:r w:rsidRPr="00255472">
              <w:rPr>
                <w:rFonts w:ascii="Arial" w:hAnsi="Arial" w:cs="Arial"/>
                <w:sz w:val="18"/>
                <w:szCs w:val="18"/>
              </w:rPr>
              <w:t xml:space="preserve"> = 10</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No treatment</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p>
        </w:tc>
        <w:tc>
          <w:tcPr>
            <w:tcW w:w="626" w:type="pct"/>
            <w:tcBorders>
              <w:right w:val="nil"/>
            </w:tcBorders>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Non-CVD Medications: No</w:t>
            </w:r>
            <w:r w:rsidRPr="00255472">
              <w:rPr>
                <w:rFonts w:ascii="Arial" w:hAnsi="Arial" w:cs="Arial"/>
                <w:sz w:val="18"/>
                <w:szCs w:val="18"/>
              </w:rPr>
              <w:br/>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Dietary Intervention(s): standardized meals during the study period; all subjects were instrucete to abstain from taking any type of medication, including overthe-counter remedies and supplements, grapefruit, caffeine, or alcohol-containing food or beverages for at least 3 days prior to the start of the study and throughout the course of the study. </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Other Lifestyle Intervention(s): NR</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Hansen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1993</w:t>
            </w:r>
            <w:r w:rsidRPr="00255472">
              <w:rPr>
                <w:rFonts w:ascii="Arial" w:hAnsi="Arial" w:cs="Arial"/>
                <w:noProof/>
                <w:sz w:val="18"/>
                <w:szCs w:val="18"/>
                <w:vertAlign w:val="superscript"/>
              </w:rPr>
              <w:t>29</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53.3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Comorbidities (other than indication(s) for CVDs): tendon xanthomas (3)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hypercholesterolemia, nonobese (within 15% of their ideal body weight) and had a total serum cholesterol level above 9.0 mmol/1 and a triglyceride level below 2.0 mmol/1 on two occasions after 8-20 weeks on a diet low in cholesterol and saturated fat (American Heart Association step I diet), normal thyroid, renal, and hepatic function, no diabetes, manifest cardiovascular disease, or other chronic illnesses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Exclusion Criteria: peptic ulcers, gastrointestinal disorders likely to influence drug absorption, </w:t>
            </w:r>
            <w:r w:rsidRPr="00255472">
              <w:rPr>
                <w:rFonts w:ascii="Arial" w:hAnsi="Arial" w:cs="Arial"/>
                <w:sz w:val="18"/>
                <w:szCs w:val="18"/>
              </w:rPr>
              <w:br/>
              <w:t>alcoholism, drug abuse, or mental illness</w:t>
            </w:r>
          </w:p>
          <w:p w:rsidR="00980857" w:rsidRPr="00255472" w:rsidRDefault="00980857" w:rsidP="00DF7310">
            <w:pPr>
              <w:spacing w:after="0"/>
              <w:ind w:firstLine="0"/>
              <w:rPr>
                <w:rFonts w:ascii="Arial" w:hAnsi="Arial" w:cs="Arial"/>
                <w:sz w:val="18"/>
                <w:szCs w:val="18"/>
              </w:rPr>
            </w:pPr>
          </w:p>
          <w:p w:rsidR="00C244AF"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hypercholesterolemic patients within 15% of their ideal body weigh</w:t>
            </w:r>
            <w:r w:rsidR="00C244AF" w:rsidRPr="00255472">
              <w:rPr>
                <w:rFonts w:ascii="Arial" w:hAnsi="Arial" w:cs="Arial"/>
                <w:sz w:val="18"/>
                <w:szCs w:val="18"/>
              </w:rPr>
              <w:t>t</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Industry </w:t>
            </w:r>
            <w:r w:rsidRPr="00255472">
              <w:rPr>
                <w:rFonts w:ascii="Arial" w:hAnsi="Arial" w:cs="Arial"/>
                <w:sz w:val="18"/>
                <w:szCs w:val="18"/>
              </w:rPr>
              <w:lastRenderedPageBreak/>
              <w:t>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84</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84</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lovastatin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w:t>
            </w:r>
            <w:r w:rsidRPr="00255472">
              <w:rPr>
                <w:rFonts w:ascii="Arial" w:hAnsi="Arial" w:cs="Arial"/>
                <w:sz w:val="18"/>
                <w:szCs w:val="18"/>
              </w:rPr>
              <w:lastRenderedPageBreak/>
              <w:t>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6000mg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Placebo (olive oil) + lovastatin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Placebo (olive oil) + lovastatin placebo</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Non-CVD Medications: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Dietary Intervention(s): diet low in cholesterol </w:t>
            </w:r>
            <w:r w:rsidRPr="00255472">
              <w:rPr>
                <w:rFonts w:ascii="Arial" w:hAnsi="Arial" w:cs="Arial"/>
                <w:sz w:val="18"/>
                <w:szCs w:val="18"/>
              </w:rPr>
              <w:lastRenderedPageBreak/>
              <w:t>and saturated fat (American Heart Association step I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Howe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1994</w:t>
            </w:r>
            <w:r w:rsidRPr="00255472">
              <w:rPr>
                <w:rFonts w:ascii="Arial" w:hAnsi="Arial" w:cs="Arial"/>
                <w:noProof/>
                <w:sz w:val="18"/>
                <w:szCs w:val="18"/>
                <w:vertAlign w:val="superscript"/>
              </w:rPr>
              <w:t>30</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61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44.6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Uncomplicated essential hypertension controlled by ACE inhibitor monnotherapy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unstable heart, renal or liver disease, DBP &gt;105mmHg, consumed more than 20 cigarettes or 40mg of alcohol per day, exercised erratically, institutionalized, or have no control over the preparation of their food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Uncomplicated essential hypertension controlled by ACE inhibitor monnotherapy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Australia/New Zealand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Captopril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RAAS Antagonist: ACEI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5000mg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low/vs/normal sodium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Isley 2007</w:t>
            </w:r>
            <w:r w:rsidRPr="00255472">
              <w:rPr>
                <w:rFonts w:ascii="Arial" w:hAnsi="Arial" w:cs="Arial"/>
                <w:noProof/>
                <w:sz w:val="18"/>
                <w:szCs w:val="18"/>
                <w:vertAlign w:val="superscript"/>
              </w:rPr>
              <w:t>31</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100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49.93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Men and postmenopausal or surgically sterile women ages 21 to 70 years were studied; necessary for fasting</w:t>
            </w:r>
            <w:r w:rsidRPr="00255472">
              <w:rPr>
                <w:rFonts w:ascii="Arial" w:hAnsi="Arial" w:cs="Arial"/>
                <w:sz w:val="18"/>
                <w:szCs w:val="18"/>
              </w:rPr>
              <w:br/>
              <w:t xml:space="preserve">serum triglyceride levels to be between 150 and 500 mg/dL; A normal chemistry screen was required to exclude secondary hypertriglyceridemia. HDL-C had to be </w:t>
            </w:r>
            <w:r w:rsidRPr="00255472">
              <w:rPr>
                <w:rFonts w:ascii="Arial" w:hAnsi="Arial" w:cs="Arial"/>
                <w:sz w:val="18"/>
                <w:szCs w:val="18"/>
              </w:rPr>
              <w:separator/>
            </w:r>
            <w:r w:rsidR="00C244AF" w:rsidRPr="00255472">
              <w:rPr>
                <w:rFonts w:ascii="Arial" w:hAnsi="Arial" w:cs="Arial"/>
                <w:sz w:val="18"/>
                <w:szCs w:val="18"/>
              </w:rPr>
              <w:br/>
            </w:r>
            <w:r w:rsidRPr="00255472">
              <w:rPr>
                <w:rFonts w:ascii="Arial" w:hAnsi="Arial" w:cs="Arial"/>
                <w:sz w:val="18"/>
                <w:szCs w:val="18"/>
              </w:rPr>
              <w:t xml:space="preserve">40 mg/dL for men and </w:t>
            </w:r>
            <w:r w:rsidRPr="00255472">
              <w:rPr>
                <w:rFonts w:ascii="Arial" w:hAnsi="Arial" w:cs="Arial"/>
                <w:sz w:val="18"/>
                <w:szCs w:val="18"/>
              </w:rPr>
              <w:separator/>
            </w:r>
            <w:r w:rsidR="00C244AF" w:rsidRPr="00255472">
              <w:rPr>
                <w:rFonts w:ascii="Arial" w:hAnsi="Arial" w:cs="Arial"/>
                <w:sz w:val="18"/>
                <w:szCs w:val="18"/>
              </w:rPr>
              <w:br/>
            </w:r>
            <w:r w:rsidRPr="00255472">
              <w:rPr>
                <w:rFonts w:ascii="Arial" w:hAnsi="Arial" w:cs="Arial"/>
                <w:sz w:val="18"/>
                <w:szCs w:val="18"/>
              </w:rPr>
              <w:t xml:space="preserve">50 mg/dL for women. LDL-C inclusion criteria were based on 1993 National Cholesterol Education Program guidelines: </w:t>
            </w:r>
            <w:r w:rsidRPr="00255472">
              <w:rPr>
                <w:rFonts w:ascii="Arial" w:hAnsi="Arial" w:cs="Arial"/>
                <w:sz w:val="18"/>
                <w:szCs w:val="18"/>
              </w:rPr>
              <w:separator/>
            </w:r>
            <w:r w:rsidR="00C244AF" w:rsidRPr="00255472">
              <w:rPr>
                <w:rFonts w:ascii="Arial" w:hAnsi="Arial" w:cs="Arial"/>
                <w:sz w:val="18"/>
                <w:szCs w:val="18"/>
              </w:rPr>
              <w:br/>
            </w:r>
            <w:r w:rsidRPr="00255472">
              <w:rPr>
                <w:rFonts w:ascii="Arial" w:hAnsi="Arial" w:cs="Arial"/>
                <w:sz w:val="18"/>
                <w:szCs w:val="18"/>
              </w:rPr>
              <w:t xml:space="preserve">130mg/dL with CHD; </w:t>
            </w:r>
            <w:r w:rsidRPr="00255472">
              <w:rPr>
                <w:rFonts w:ascii="Arial" w:hAnsi="Arial" w:cs="Arial"/>
                <w:sz w:val="18"/>
                <w:szCs w:val="18"/>
              </w:rPr>
              <w:separator/>
            </w:r>
            <w:r w:rsidR="00C244AF" w:rsidRPr="00255472">
              <w:rPr>
                <w:rFonts w:ascii="Arial" w:hAnsi="Arial" w:cs="Arial"/>
                <w:sz w:val="18"/>
                <w:szCs w:val="18"/>
              </w:rPr>
              <w:br/>
            </w:r>
            <w:r w:rsidRPr="00255472">
              <w:rPr>
                <w:rFonts w:ascii="Arial" w:hAnsi="Arial" w:cs="Arial"/>
                <w:sz w:val="18"/>
                <w:szCs w:val="18"/>
              </w:rPr>
              <w:t xml:space="preserve">160mg/dL with two or more risk factors; and </w:t>
            </w:r>
            <w:r w:rsidRPr="00255472">
              <w:rPr>
                <w:rFonts w:ascii="Arial" w:hAnsi="Arial" w:cs="Arial"/>
                <w:sz w:val="18"/>
                <w:szCs w:val="18"/>
              </w:rPr>
              <w:separator/>
            </w:r>
            <w:r w:rsidR="00C244AF" w:rsidRPr="00255472">
              <w:rPr>
                <w:rFonts w:ascii="Arial" w:hAnsi="Arial" w:cs="Arial"/>
                <w:sz w:val="18"/>
                <w:szCs w:val="18"/>
              </w:rPr>
              <w:br/>
            </w:r>
            <w:r w:rsidRPr="00255472">
              <w:rPr>
                <w:rFonts w:ascii="Arial" w:hAnsi="Arial" w:cs="Arial"/>
                <w:sz w:val="18"/>
                <w:szCs w:val="18"/>
              </w:rPr>
              <w:t>190 mg/dL with one risk factor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Subjects with diabetes mellitus, peptic ulcer disease, gouty arthritis, or hyperuricemia; or known hepatic, renal, autoimmune, or gastrointestinal diseases; taking warfarin, chronic nonsteroidal</w:t>
            </w:r>
            <w:r w:rsidRPr="00255472">
              <w:rPr>
                <w:rFonts w:ascii="Arial" w:hAnsi="Arial" w:cs="Arial"/>
                <w:sz w:val="18"/>
                <w:szCs w:val="18"/>
              </w:rPr>
              <w:br/>
              <w:t>anti-inflammatory agents, or any medication known to affect lipid metabolism</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Brief Description: patients with </w:t>
            </w:r>
            <w:r w:rsidRPr="00255472">
              <w:rPr>
                <w:rFonts w:ascii="Arial" w:hAnsi="Arial" w:cs="Arial"/>
                <w:sz w:val="18"/>
                <w:szCs w:val="18"/>
              </w:rPr>
              <w:lastRenderedPageBreak/>
              <w:t>atherogenic dyslipidemia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North America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135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90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p w:rsidR="00980857" w:rsidRPr="00255472" w:rsidRDefault="00980857" w:rsidP="00DF7310">
            <w:pPr>
              <w:spacing w:after="0"/>
              <w:ind w:firstLine="0"/>
              <w:rPr>
                <w:rFonts w:ascii="Arial" w:hAnsi="Arial" w:cs="Arial"/>
                <w:sz w:val="18"/>
                <w:szCs w:val="18"/>
              </w:rPr>
            </w:pP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Reason for taking </w:t>
            </w:r>
            <w:r w:rsidRPr="00255472">
              <w:rPr>
                <w:rFonts w:ascii="Arial" w:hAnsi="Arial" w:cs="Arial"/>
                <w:sz w:val="18"/>
                <w:szCs w:val="18"/>
              </w:rPr>
              <w:lastRenderedPageBreak/>
              <w:t>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Immediate-release niacin</w:t>
            </w:r>
          </w:p>
          <w:p w:rsidR="00980857" w:rsidRPr="00255472" w:rsidRDefault="00980857" w:rsidP="00DF7310">
            <w:pPr>
              <w:autoSpaceDE w:val="0"/>
              <w:autoSpaceDN w:val="0"/>
              <w:adjustRightInd w:val="0"/>
              <w:spacing w:after="0"/>
              <w:ind w:firstLine="0"/>
              <w:rPr>
                <w:rFonts w:ascii="Arial" w:hAnsi="Arial" w:cs="Arial"/>
                <w:sz w:val="18"/>
                <w:szCs w:val="18"/>
              </w:rPr>
            </w:pPr>
            <w:proofErr w:type="gramStart"/>
            <w:r w:rsidRPr="00255472">
              <w:rPr>
                <w:rFonts w:ascii="Arial" w:hAnsi="Arial" w:cs="Arial"/>
                <w:sz w:val="18"/>
                <w:szCs w:val="18"/>
              </w:rPr>
              <w:t>tablets</w:t>
            </w:r>
            <w:proofErr w:type="gramEnd"/>
            <w:r w:rsidRPr="00255472">
              <w:rPr>
                <w:rFonts w:ascii="Arial" w:hAnsi="Arial" w:cs="Arial"/>
                <w:sz w:val="18"/>
                <w:szCs w:val="18"/>
              </w:rPr>
              <w:t xml:space="preserve"> (Rugby Laboratories, West Hempstead, NY). Patients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escalating dose 500-3000 mg x3 /d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autoSpaceDE w:val="0"/>
              <w:autoSpaceDN w:val="0"/>
              <w:adjustRightInd w:val="0"/>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 (EPA, DHA or both)</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N1 = 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 xml:space="preserve">Omega-3 placebo (corn oil ethyl esters 4g/d) +- niacin placebo (Calcium </w:t>
            </w:r>
            <w:r w:rsidRPr="00255472">
              <w:rPr>
                <w:rFonts w:ascii="Arial" w:hAnsi="Arial" w:cs="Arial"/>
                <w:sz w:val="18"/>
                <w:szCs w:val="18"/>
              </w:rPr>
              <w:lastRenderedPageBreak/>
              <w:t>gluconate USP; Roxane Laboratories,</w:t>
            </w:r>
          </w:p>
          <w:p w:rsidR="00980857" w:rsidRPr="00255472" w:rsidRDefault="00980857" w:rsidP="00DF7310">
            <w:pPr>
              <w:autoSpaceDE w:val="0"/>
              <w:autoSpaceDN w:val="0"/>
              <w:adjustRightInd w:val="0"/>
              <w:spacing w:after="0"/>
              <w:ind w:firstLine="0"/>
              <w:rPr>
                <w:rFonts w:ascii="Arial" w:hAnsi="Arial" w:cs="Arial"/>
                <w:sz w:val="18"/>
                <w:szCs w:val="18"/>
                <w:lang w:val="fr-CA"/>
              </w:rPr>
            </w:pPr>
            <w:r w:rsidRPr="00255472">
              <w:rPr>
                <w:rFonts w:ascii="Arial" w:hAnsi="Arial" w:cs="Arial"/>
                <w:sz w:val="18"/>
                <w:szCs w:val="18"/>
              </w:rPr>
              <w:t>Columbus, OH).</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Non-CVD Medications: ibuprofen or acetaminophen</w:t>
            </w:r>
            <w:r w:rsidRPr="00255472">
              <w:rPr>
                <w:rFonts w:ascii="Arial" w:hAnsi="Arial" w:cs="Arial"/>
                <w:sz w:val="18"/>
                <w:szCs w:val="18"/>
              </w:rPr>
              <w:br/>
              <w:t>were allowed as needed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Dietary Intervention(s): </w:t>
            </w:r>
            <w:r w:rsidRPr="00255472">
              <w:rPr>
                <w:rFonts w:ascii="Arial" w:hAnsi="Arial" w:cs="Arial"/>
                <w:sz w:val="18"/>
                <w:szCs w:val="18"/>
              </w:rPr>
              <w:lastRenderedPageBreak/>
              <w:t>Subjects were instructed to follow a low-fat, low-cholesterol diet per the National Cholesterol Education Program</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maintain their usual exercise habits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abstain from alcohol excess</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Jiang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2005</w:t>
            </w:r>
            <w:r w:rsidRPr="00255472">
              <w:rPr>
                <w:rFonts w:ascii="Arial" w:hAnsi="Arial" w:cs="Arial"/>
                <w:noProof/>
                <w:sz w:val="18"/>
                <w:szCs w:val="18"/>
                <w:vertAlign w:val="superscript"/>
              </w:rPr>
              <w:t>32</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All subjects were nonsmokers and were</w:t>
            </w:r>
            <w:r w:rsidRPr="00255472">
              <w:rPr>
                <w:rFonts w:ascii="Arial" w:hAnsi="Arial" w:cs="Arial"/>
                <w:sz w:val="18"/>
                <w:szCs w:val="18"/>
              </w:rPr>
              <w:br/>
              <w:t>selected on the basis of medical history, physical examination and clinical laboratory test results (including INR, platelet aggregation, creatinine, bilirubin, albumin</w:t>
            </w:r>
            <w:r w:rsidRPr="00255472">
              <w:rPr>
                <w:rFonts w:ascii="Arial" w:hAnsi="Arial" w:cs="Arial"/>
                <w:sz w:val="18"/>
                <w:szCs w:val="18"/>
              </w:rPr>
              <w:br/>
              <w:t>and total protein)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Subjects with current or past medical conditions that might affect the pharmacokinetic or</w:t>
            </w:r>
            <w:r w:rsidRPr="00255472">
              <w:rPr>
                <w:rFonts w:ascii="Arial" w:hAnsi="Arial" w:cs="Arial"/>
                <w:sz w:val="18"/>
                <w:szCs w:val="18"/>
              </w:rPr>
              <w:br/>
              <w:t>pharmacodynamic response to warfarin; not taken any medication for at least 2 weeks before commencing the</w:t>
            </w:r>
            <w:r w:rsidRPr="00255472">
              <w:rPr>
                <w:rFonts w:ascii="Arial" w:hAnsi="Arial" w:cs="Arial"/>
                <w:sz w:val="18"/>
                <w:szCs w:val="18"/>
              </w:rPr>
              <w:br/>
              <w:t>study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male subjects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Australia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25mg – 1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drug(s):Pharmacokinetics and pharmackodynamic study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12000mg</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Ginger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Administration: Capsule/Tablet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3600mg</w:t>
            </w: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highlight w:val="yellow"/>
              </w:rPr>
            </w:pPr>
            <w:r w:rsidRPr="00255472">
              <w:rPr>
                <w:rFonts w:ascii="Arial" w:hAnsi="Arial" w:cs="Arial"/>
                <w:sz w:val="18"/>
                <w:szCs w:val="18"/>
              </w:rPr>
              <w:lastRenderedPageBreak/>
              <w:t>Jiang 2004</w:t>
            </w:r>
            <w:r w:rsidRPr="00255472">
              <w:rPr>
                <w:rFonts w:ascii="Arial" w:hAnsi="Arial" w:cs="Arial"/>
                <w:noProof/>
                <w:sz w:val="18"/>
                <w:szCs w:val="18"/>
                <w:vertAlign w:val="superscript"/>
              </w:rPr>
              <w:t>33</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All subjects were nonsmokers and were selected on the basis of medical history, physical examination, and clinical laboratory test results (including INR, platelet aggregation, creatinine, bilirubin, albumin and total protein)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Subjects with current or past medical conditions that might affect the pharmacokinetic or pharmacodynamic response to warfarin; had not taken any medication for at least 2 weeks before commencing the study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male subjects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Region: NR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Setting: NR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Industry Funded: No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3</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Drug Category: Anticoagulants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25mg – single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Pharmacokinetics and pharmackodynamic study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Ginseng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Administration: Capsule/Tablet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3000mg</w:t>
            </w: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N2 =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non-relevant supplement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Kaul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1992</w:t>
            </w:r>
            <w:r w:rsidRPr="00255472">
              <w:rPr>
                <w:rFonts w:ascii="Arial" w:hAnsi="Arial" w:cs="Arial"/>
                <w:noProof/>
                <w:sz w:val="18"/>
                <w:szCs w:val="18"/>
                <w:vertAlign w:val="superscript"/>
              </w:rPr>
              <w:t>34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107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57.37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unstable angina 33.64%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undergoing coronary angioplasty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history of bleeding disorder;on oral anticoagulants;emergency angioplasty;recent MI;angioplasty of a saphenous vein bypass graft;angioplasty for restenosis;inability to perform treadmill test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undergoing coronary angioplasty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Rest of Asia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180</w:t>
            </w:r>
          </w:p>
          <w:p w:rsidR="00980857" w:rsidRPr="00255472" w:rsidRDefault="00980857" w:rsidP="00DF7310">
            <w:pPr>
              <w:spacing w:after="0"/>
              <w:ind w:firstLine="0"/>
              <w:rPr>
                <w:rFonts w:ascii="Arial" w:hAnsi="Arial" w:cs="Arial"/>
                <w:sz w:val="18"/>
                <w:szCs w:val="18"/>
              </w:rPr>
            </w:pP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Calcium channel 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w:t>
            </w:r>
            <w:r w:rsidR="00DA0955">
              <w:rPr>
                <w:rFonts w:ascii="Arial" w:hAnsi="Arial" w:cs="Arial"/>
                <w:sz w:val="18"/>
                <w:szCs w:val="18"/>
              </w:rPr>
              <w:t xml:space="preserve"> </w:t>
            </w:r>
            <w:r w:rsidRPr="00255472">
              <w:rPr>
                <w:rFonts w:ascii="Arial" w:hAnsi="Arial" w:cs="Arial"/>
                <w:sz w:val="18"/>
                <w:szCs w:val="18"/>
              </w:rPr>
              <w:t>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150 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w:t>
            </w:r>
            <w:r w:rsidR="00DA0955">
              <w:rPr>
                <w:rFonts w:ascii="Arial" w:hAnsi="Arial" w:cs="Arial"/>
                <w:sz w:val="18"/>
                <w:szCs w:val="18"/>
              </w:rPr>
              <w:t xml:space="preserve"> </w:t>
            </w:r>
            <w:r w:rsidRPr="00255472">
              <w:rPr>
                <w:rFonts w:ascii="Arial" w:hAnsi="Arial" w:cs="Arial"/>
                <w:sz w:val="18"/>
                <w:szCs w:val="18"/>
              </w:rPr>
              <w:t>heparin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IV</w:t>
            </w: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Mean daily dose: 1000 units/hour for 24 hours (max. 20,000 units)</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58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 capsules given to patients, daily dose NR</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49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Kim 2010</w:t>
            </w:r>
            <w:r w:rsidRPr="00255472">
              <w:rPr>
                <w:rFonts w:ascii="Arial" w:hAnsi="Arial" w:cs="Arial"/>
                <w:noProof/>
                <w:sz w:val="18"/>
                <w:szCs w:val="18"/>
                <w:vertAlign w:val="superscript"/>
              </w:rPr>
              <w:t>35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24.1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Asian (100)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males, confirmed by physical exam and lab testing</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Those outside 80%-120% of ideal weight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adult, Korean males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East Asia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General community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single dose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Single dose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NA</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Ticlopidine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250mg single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drug(s):Pharmacokinetics and pharmackodynamic study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80mg single dose</w:t>
            </w: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None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Lee 2008</w:t>
            </w:r>
            <w:r w:rsidRPr="00255472">
              <w:rPr>
                <w:rFonts w:ascii="Arial" w:hAnsi="Arial" w:cs="Arial"/>
                <w:noProof/>
                <w:sz w:val="18"/>
                <w:szCs w:val="18"/>
                <w:vertAlign w:val="superscript"/>
              </w:rPr>
              <w:t>36</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200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 included/randomized: 34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63.73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Hypertension, diabetes mellitus, atrial fibrillation, hyperlipidemia</w:t>
            </w:r>
          </w:p>
          <w:p w:rsidR="00980857" w:rsidRPr="00255472" w:rsidRDefault="00980857" w:rsidP="00DF7310">
            <w:pPr>
              <w:spacing w:after="0"/>
              <w:ind w:firstLine="0"/>
              <w:rPr>
                <w:rFonts w:ascii="Arial" w:hAnsi="Arial" w:cs="Arial"/>
                <w:sz w:val="18"/>
                <w:szCs w:val="18"/>
                <w:highlight w:val="yellow"/>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ischemic stroke who received care between Mar 2007 and Aug 2007 in the Korean Medical Hospital, Kyung Hee University Medical Center; diagnosis of stroke was defined as an acute focal or global neurologic deficit lasting more than 24 hrs without an apparent cause other than one of vascular origin, subsequently confirmed by brain CT or MRI scan within 72 hours from onset of the symptoms; Subjects were required to have scores of 3 or more on the Glasgow Outcome Scale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hepatic disease (alanine,aminotransferase and aspartate &gt;2x the upper limit of laboratory normal range); history or presence of renal insufficiency (creatinine&gt; 1.2mg/dL);hematologic abnormalities(thrombocytopenia,low granulocyte count, anemia, hypofibrinogenemia, hemophilia, vascularpurpura, hemopathy with prolongation of bleeding time, a baseline INR above the normal range [more than 1.4]); condition liable to interfere with the absorption, metabolism,or excretion of warfarin; positive test result for hepatitis (B and C) except for vaccinated patients; positive HIV test on admission lab; taking medications such as aspirin and clopidogrel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Brief Description: patients with histories </w:t>
            </w:r>
            <w:r w:rsidRPr="00255472">
              <w:rPr>
                <w:rFonts w:ascii="Arial" w:hAnsi="Arial" w:cs="Arial"/>
                <w:sz w:val="18"/>
                <w:szCs w:val="18"/>
              </w:rPr>
              <w:lastRenderedPageBreak/>
              <w:t>of ischemic stroke</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East Asia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Industry </w:t>
            </w:r>
            <w:r w:rsidRPr="00255472">
              <w:rPr>
                <w:rFonts w:ascii="Arial" w:hAnsi="Arial" w:cs="Arial"/>
                <w:sz w:val="18"/>
                <w:szCs w:val="18"/>
              </w:rPr>
              <w:lastRenderedPageBreak/>
              <w:t>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Drug Category: Anticoagulants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Reason for taking CVD </w:t>
            </w:r>
            <w:r w:rsidRPr="00255472">
              <w:rPr>
                <w:rFonts w:ascii="Arial" w:hAnsi="Arial" w:cs="Arial"/>
                <w:sz w:val="18"/>
                <w:szCs w:val="18"/>
              </w:rPr>
              <w:lastRenderedPageBreak/>
              <w:t>drug(s):Pharmacokinetics and pharmackodynamic study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Ginseng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aqueous extracts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1500mg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13</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Other Lifestyle </w:t>
            </w:r>
            <w:r w:rsidRPr="00255472">
              <w:rPr>
                <w:rFonts w:ascii="Arial" w:hAnsi="Arial" w:cs="Arial"/>
                <w:sz w:val="18"/>
                <w:szCs w:val="18"/>
              </w:rPr>
              <w:lastRenderedPageBreak/>
              <w:t>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Liu</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2003</w:t>
            </w:r>
            <w:r w:rsidRPr="00255472">
              <w:rPr>
                <w:rFonts w:ascii="Arial" w:hAnsi="Arial" w:cs="Arial"/>
                <w:noProof/>
                <w:sz w:val="18"/>
                <w:szCs w:val="18"/>
                <w:vertAlign w:val="superscript"/>
              </w:rPr>
              <w:t>37</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88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69.3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Mixed - all participants were hyperlipidemic and subjects with obesity, high BMI, high blood pressure or insulin resistance were not excluded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adults with hyperlipidemia, fasting TC &gt; 6.2 mmol/L and/or fasting TG &gt;1.8 mmol/L. Subjects with obesity, high BMI, high blood pressure or insulin resistance were not excluded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Subjects with previously known lipid changes undergoing treatment; allergy to statins; diabetes mellitus; liver or renal disease; other diseases that might influence lipid metabolism; pregnant women; articipation in another drug study during the last month; treatment with antimycotic drugs or antibiotics that might interfere with the effects of statins; other drugs that may influence lipid metabolism; cancer or other serious diseases.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Adults with hyperlipidemia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10gmay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9.2g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N2 = 22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Low fat diet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N3 = 19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Fish oil</w:t>
            </w: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decrease intake of fat milk, cream, and fat cheese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Lungershausen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1994</w:t>
            </w:r>
            <w:r w:rsidRPr="00255472">
              <w:rPr>
                <w:rFonts w:ascii="Arial" w:hAnsi="Arial" w:cs="Arial"/>
                <w:noProof/>
                <w:sz w:val="18"/>
                <w:szCs w:val="18"/>
                <w:vertAlign w:val="superscript"/>
              </w:rPr>
              <w:t>38</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69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uncomplicated essential hypertension being treated with monotherapy (b-blocker and/or diuretic)</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history of unstable heart, renal or liver disease, or DBP exceeding 105mmHg consumed more than 20 cigarettes or 40g alcohol per day or exercised erratically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volunteers with uncomplicated essential hypertension controlled by monotherapy with beta-blocker or diuretic or combination of 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Australia/New Zealand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Other (recruited by GP)</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b-blockers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42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 oils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42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told to maintain constant diet and avoid fatty fish</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Mabuchi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39</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60.49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71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Asian (100)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hypercholesterolemic (above 220 mg/dL)</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Exclusion Criteria: pregnant or lactating women; </w:t>
            </w:r>
            <w:r w:rsidRPr="00255472">
              <w:rPr>
                <w:rFonts w:ascii="Arial" w:hAnsi="Arial" w:cs="Arial"/>
                <w:sz w:val="18"/>
                <w:szCs w:val="18"/>
              </w:rPr>
              <w:br/>
              <w:t>patients with familial hypercholesterolemia; Patients taking other lipid-lowering drugs; patients taking antioxidants</w:t>
            </w:r>
          </w:p>
          <w:p w:rsidR="00980857" w:rsidRPr="00255472" w:rsidRDefault="00980857" w:rsidP="00DF7310">
            <w:pPr>
              <w:spacing w:after="0"/>
              <w:ind w:firstLine="0"/>
              <w:rPr>
                <w:rFonts w:ascii="Arial" w:hAnsi="Arial" w:cs="Arial"/>
                <w:sz w:val="18"/>
                <w:szCs w:val="18"/>
              </w:rPr>
            </w:pPr>
          </w:p>
          <w:p w:rsidR="00980857" w:rsidRPr="00255472" w:rsidRDefault="00980857" w:rsidP="00255472">
            <w:pPr>
              <w:spacing w:after="0"/>
              <w:ind w:firstLine="0"/>
              <w:rPr>
                <w:rFonts w:ascii="Arial" w:hAnsi="Arial" w:cs="Arial"/>
                <w:sz w:val="18"/>
                <w:szCs w:val="18"/>
              </w:rPr>
            </w:pPr>
            <w:r w:rsidRPr="00255472">
              <w:rPr>
                <w:rFonts w:ascii="Arial" w:hAnsi="Arial" w:cs="Arial"/>
                <w:sz w:val="18"/>
                <w:szCs w:val="18"/>
              </w:rPr>
              <w:t>Brief Description: Japanese hypercholesterolemic</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East Asia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28</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28</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atorvastatin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Coenzyme Q10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25</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less than 300 mg of low cholesterol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Macan 2006</w:t>
            </w:r>
            <w:r w:rsidRPr="00255472">
              <w:rPr>
                <w:rFonts w:ascii="Arial" w:hAnsi="Arial" w:cs="Arial"/>
                <w:noProof/>
                <w:sz w:val="18"/>
                <w:szCs w:val="18"/>
                <w:vertAlign w:val="superscript"/>
              </w:rPr>
              <w:t>40</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66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52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55.4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66.6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Comorbidities (other than indication(s) for CVDs): Type II Diabetes, hypertension, hypercholesterolemia (portion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Inclusion Criteria: participants diagnosed with deep vein thrombosis, valvular heart disease, atrial fibrillation, or those with prosthetic heart valves. 18 years or older, on warfarin therapy.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any significant medical conditions other than those mentioned, such as the presence of a terminal disease that could shorten the lifespan of the patient (e.g. cancer), a mental condition rendering the subject unable to understand the nature, scope, and possible consequences of the study, a history of hypersensitivity to garlic or study medication, the presence of anemia (&lt;32 mg %) thrombocytopenia (platelets &lt;75,000/mm3), current drug abuse, active bleeding, uncontrolled hypertension, prior treatment with garlic or any related products within 3 months, and treatment with any investigational drugs within 30 days prior to signing the consent.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adults on warfarin therapy diagnosed with deep vein thrombosis, valvular heart disease, atrial fibrillation, or those with prosthetic heart valves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p w:rsidR="00980857" w:rsidRPr="00255472" w:rsidRDefault="00980857" w:rsidP="00DF7310">
            <w:pPr>
              <w:spacing w:after="0"/>
              <w:ind w:firstLine="0"/>
              <w:rPr>
                <w:rFonts w:ascii="Arial" w:hAnsi="Arial" w:cs="Arial"/>
                <w:sz w:val="18"/>
                <w:szCs w:val="18"/>
              </w:rPr>
            </w:pP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Garlic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Liquid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10ml</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26</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Maki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2008</w:t>
            </w:r>
            <w:r w:rsidRPr="00255472">
              <w:rPr>
                <w:rFonts w:ascii="Arial" w:hAnsi="Arial" w:cs="Arial"/>
                <w:noProof/>
                <w:sz w:val="18"/>
                <w:szCs w:val="18"/>
                <w:vertAlign w:val="superscript"/>
              </w:rPr>
              <w:t>41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98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64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(97)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moderate/moderately high risk for CHD (2+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Subjects with mixed dyslipidemia (defined as a mean fasting triglyceride level of 200 to 600 mg/dl and a non-HDL cholesterol level higher than the subject’s National Cholesterol Education Program Third Adult Treatment Panel goal); Nonpregnant, nonlactating women who were not planning on becoming pregnant during study period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Recent history of CV event, or revascularization procedure; presence or recent resection of an aortic aneurysm; a lipoprotein lipase impairment or deficiency,known apolipoprotein (apo) CII deficiency, or familial dysbetalipoproteinemia; significant renal (creatinine &gt;=2.0 mg/dl), pulmonary, hepatic, biliary, or gastrointestinal disease;increased liver enzymes(1.5 times the upper limit of normal); history of pancreatitis; recent history of cancer (except nonmelanoma skin cancer); symptoms of unexplained muscle pain, tenderness or weakness, myopathy, or rhabdomyolysis; or a body mass index 40.0 kg/m2;poorly controlled hypertension; or poorly controlled diabetes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Subjects with mixed dyslipidemia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Treatment </w:t>
            </w:r>
            <w:r w:rsidRPr="00255472">
              <w:rPr>
                <w:rFonts w:ascii="Arial" w:hAnsi="Arial" w:cs="Arial"/>
                <w:sz w:val="18"/>
                <w:szCs w:val="18"/>
              </w:rPr>
              <w:lastRenderedPageBreak/>
              <w:t>Duration supplement(s):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Mean Daily Dose: </w:t>
            </w:r>
            <w:r w:rsidRPr="00255472">
              <w:rPr>
                <w:rFonts w:ascii="Arial" w:hAnsi="Arial" w:cs="Arial"/>
                <w:sz w:val="18"/>
                <w:szCs w:val="18"/>
              </w:rPr>
              <w:lastRenderedPageBreak/>
              <w:t>20mg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Therapeutic Lifestyle Changes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Manuel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2004</w:t>
            </w:r>
            <w:r w:rsidRPr="00255472">
              <w:rPr>
                <w:rFonts w:ascii="Arial" w:hAnsi="Arial" w:cs="Arial"/>
                <w:noProof/>
                <w:sz w:val="18"/>
                <w:szCs w:val="18"/>
                <w:vertAlign w:val="superscript"/>
              </w:rPr>
              <w:t>42</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32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13.7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T1DM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Inclusion Criteria: Inclusion criteria were total cholesterol &gt; 4.9 and LDL cholesterol &gt; 3.0 mmol/L but Triglycerides &lt; 4.5 mmol/L) and normal blood levels of thyroxin (9.7-23.4 pmol/L) </w:t>
            </w:r>
            <w:r w:rsidRPr="00255472">
              <w:rPr>
                <w:rFonts w:ascii="Arial" w:hAnsi="Arial" w:cs="Arial"/>
                <w:sz w:val="18"/>
                <w:szCs w:val="18"/>
              </w:rPr>
              <w:br/>
              <w:t>and TSH (0.4-4.0 uU/mL).</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T1DM patients with high cholesterol</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Atorvastatin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750IU</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11</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standard diet for diabetes recommending 7.5 to 8.5 MJ (50% of the energy as carbohydrates, 20% as protein and 30% as fats). This diet assures a daily intake of at least 3 mg Vitamin E, 3000mg Vitamin A, 150 mg Vitamin C and 26 mg flavonoids.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Mauro 2003</w:t>
            </w:r>
            <w:r w:rsidRPr="00255472">
              <w:rPr>
                <w:rFonts w:ascii="Arial" w:hAnsi="Arial" w:cs="Arial"/>
                <w:noProof/>
                <w:sz w:val="18"/>
                <w:szCs w:val="18"/>
                <w:vertAlign w:val="superscript"/>
              </w:rPr>
              <w:t>43</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12.5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adult volunteers aged 20 to 35 years willing to sign an informed consent document; All volunteers needed to pass a physical examination, have normal blood and urine chemistry results (SMA-20, CBC, coagulation panel, and urine analysis), a normal electrocardiogram, and, if female, a negative serum pregnancy test.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 history of psychiatric, cardiovascular, renal, gastrointestinal, hepatic, thyroid, neurologic, hematologic, or</w:t>
            </w:r>
            <w:r w:rsidRPr="00255472">
              <w:rPr>
                <w:rFonts w:ascii="Arial" w:hAnsi="Arial" w:cs="Arial"/>
                <w:sz w:val="18"/>
                <w:szCs w:val="18"/>
              </w:rPr>
              <w:br/>
              <w:t>pulmonary disease; were on medication, had a history of alcohol or drug abuse, a hypersensitivity to digoxin or herbal medications, or a history of chronic smoking or had smoked within the past year.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young healthy adults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Treatment DurationCVD Drug(s): 1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1.5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1.5</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Digoxin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Inotropics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Dose:0.5mg – single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drug(s):Pharmacokinetics and pharmackodynamic study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Administration: Capsule/Tablet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240mg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Subjects not on any medications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McDowell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1994</w:t>
            </w:r>
            <w:r w:rsidRPr="00255472">
              <w:rPr>
                <w:rFonts w:ascii="Arial" w:hAnsi="Arial" w:cs="Arial"/>
                <w:noProof/>
                <w:sz w:val="18"/>
                <w:szCs w:val="18"/>
                <w:vertAlign w:val="superscript"/>
              </w:rPr>
              <w:t>44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43.8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37.5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Type IIa hyperlipidaemia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Taking regular medication for angina or hypertension oxidation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Type IIa hyperlipidaemia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Study Design: Parallel RCT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28</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28</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400IU</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McKenney 2006</w:t>
            </w:r>
            <w:r w:rsidRPr="00255472">
              <w:rPr>
                <w:rFonts w:ascii="Arial" w:hAnsi="Arial" w:cs="Arial"/>
                <w:noProof/>
                <w:sz w:val="18"/>
                <w:szCs w:val="18"/>
                <w:vertAlign w:val="superscript"/>
              </w:rPr>
              <w:t>45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30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(16.7)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(83.3)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male or female volunteers, aged 18 to 55 years and within 15% of ideal weight according to the 1983 Metropolitan Life Insurance Tables; nonsmokers for at least 3 months; Female subjects were required to be past menopause</w:t>
            </w:r>
            <w:r w:rsidRPr="00255472">
              <w:rPr>
                <w:rFonts w:ascii="Arial" w:hAnsi="Arial" w:cs="Arial"/>
                <w:sz w:val="18"/>
                <w:szCs w:val="18"/>
              </w:rPr>
              <w:br/>
              <w:t>by more than 2 years, sexually abstinent, or using an acceptable method of birth control.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Persons with a history of hypersensitivity or idiosyncratic reaction</w:t>
            </w:r>
            <w:r w:rsidRPr="00255472">
              <w:rPr>
                <w:rFonts w:ascii="Arial" w:hAnsi="Arial" w:cs="Arial"/>
                <w:sz w:val="18"/>
                <w:szCs w:val="18"/>
              </w:rPr>
              <w:br/>
              <w:t>to HMG-CoA reductase inhibitors or lipid-regulating agents, or allergy or sensitivity to fish; Persons who had used drugs or substances known to be strong inhibitors or inducers of CYP enzymes within 10 days (inhibitors) or 28 days (inducers) of the first dose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adults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North America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Setting: </w:t>
            </w:r>
            <w:r w:rsidRPr="00255472">
              <w:rPr>
                <w:rFonts w:ascii="Arial" w:hAnsi="Arial" w:cs="Arial"/>
                <w:sz w:val="18"/>
                <w:szCs w:val="18"/>
              </w:rPr>
              <w:br/>
              <w:t>Research Unit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1</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80mg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exploratory analysis of the effects of P-OM3 on blood coagulation and/or platelet aggregation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 (EPA, DHA or both)</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24</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hormonal contraceptives; hormone replacement therapy allowed (portion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Meyer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46</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56.66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subjects on stable statin treatment for hypercholesterolaemia (i.e. already taking statin drug for at least 3 months and expecting to continue on the same dosage during the study period) who had persistent hypertriglyceridaemia (greater than 1.6 mmol/L).</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subjects on stable statin treatment for hypercholesterolaemia (i.e. already taking statin drug for at least 3 months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Australia/New Zealand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19 pts were taking simvastatin, 13 atorvastatin, 4 pravastatin, 2 cerivastatin and 2 luvastatin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30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 or 8000mg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15</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lastRenderedPageBreak/>
              <w:t>Micheletta</w:t>
            </w: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2004</w:t>
            </w:r>
            <w:r w:rsidRPr="00255472">
              <w:rPr>
                <w:rFonts w:ascii="Arial" w:hAnsi="Arial" w:cs="Arial"/>
                <w:noProof/>
                <w:sz w:val="18"/>
                <w:szCs w:val="18"/>
                <w:vertAlign w:val="superscript"/>
                <w:lang w:val="fr-CA"/>
              </w:rPr>
              <w:t>47</w:t>
            </w:r>
            <w:r w:rsidRPr="00255472">
              <w:rPr>
                <w:rFonts w:ascii="Arial" w:hAnsi="Arial" w:cs="Arial"/>
                <w:sz w:val="18"/>
                <w:szCs w:val="18"/>
                <w:lang w:val="fr-CA"/>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carotid atherosclerosis having a lumen stenosis &gt;70% and eligible for carotid endarterectomy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acute and chronic liver disease, cancer, malabsorption syndrome, prior stomach surgery, renal failure, and the use of any supplements containing vitamin E, vitamin C, carotenoids, or iron in the 30 days before the study.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carotid atherosclerosis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ASA or ticlopidin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900mg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Miyamoto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2004</w:t>
            </w:r>
            <w:r w:rsidRPr="00255472">
              <w:rPr>
                <w:rFonts w:ascii="Arial" w:hAnsi="Arial" w:cs="Arial"/>
                <w:noProof/>
                <w:sz w:val="18"/>
                <w:szCs w:val="18"/>
                <w:vertAlign w:val="superscript"/>
              </w:rPr>
              <w:t>48</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coronary spastic angina, in whom spontaneous angina occurred at rest.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Coronary spastic angina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East Asia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Diltiazem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Calcium channel 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100 OR 200 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Mohammed Abdul 2008</w:t>
            </w:r>
            <w:r w:rsidRPr="00255472">
              <w:rPr>
                <w:rFonts w:ascii="Arial" w:hAnsi="Arial" w:cs="Arial"/>
                <w:noProof/>
                <w:sz w:val="18"/>
                <w:szCs w:val="18"/>
                <w:vertAlign w:val="superscript"/>
              </w:rPr>
              <w:t>49</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(58.3)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including 3 Indians (41.7)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nonsmoking,</w:t>
            </w:r>
            <w:r w:rsidRPr="00255472">
              <w:rPr>
                <w:rFonts w:ascii="Arial" w:hAnsi="Arial" w:cs="Arial"/>
                <w:sz w:val="18"/>
                <w:szCs w:val="18"/>
              </w:rPr>
              <w:br/>
              <w:t>not taking any medicines including herbal/vitamin supplements for at least 2 weeks and aged 18-34 years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any medical condition that could alter warfarin effects, including any clotting disorders, hepatic dysfunction or platelet dysfunction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males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Australia/New Zealand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Drug Category: Anticoagulants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25mg – single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pharmacokinetics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and pharmacodynamics</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Garlic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4</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4</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non-relevant supplement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N3 = 4</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Intervention3: non-relevant supplement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hormonal contraceptives; hormone replacement therapy allowed (portion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Motoyama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1998</w:t>
            </w:r>
            <w:r w:rsidRPr="00255472">
              <w:rPr>
                <w:rFonts w:ascii="Arial" w:hAnsi="Arial" w:cs="Arial"/>
                <w:noProof/>
                <w:sz w:val="18"/>
                <w:szCs w:val="18"/>
                <w:vertAlign w:val="superscript"/>
              </w:rPr>
              <w:t>50</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60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60.3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coronary spastic angina in whom spontaneous angina occurred at rest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angina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East Asia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30</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NR</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Diltiazem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Calcium channel 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200mg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 (not described)</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Mueller 1991</w:t>
            </w:r>
            <w:r w:rsidRPr="00255472">
              <w:rPr>
                <w:rFonts w:ascii="Arial" w:hAnsi="Arial" w:cs="Arial"/>
                <w:noProof/>
                <w:sz w:val="18"/>
                <w:szCs w:val="18"/>
                <w:vertAlign w:val="superscript"/>
              </w:rPr>
              <w:t>51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29.67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41.7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adult volunteers who provided informed consent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Pregnant women, anyone with a known allergy to aspirin or fish, and those taking aspirin, NSAIDs, or oral anticoagulants for a concurrent medical condition; Subjects with known platelet or coagulation disorders and subjects with thrombocytopenia, defined as a platelet count</w:t>
            </w:r>
            <w:r w:rsidRPr="00255472">
              <w:rPr>
                <w:rFonts w:ascii="Arial" w:hAnsi="Arial" w:cs="Arial"/>
                <w:sz w:val="18"/>
                <w:szCs w:val="18"/>
              </w:rPr>
              <w:br/>
              <w:t>of less than 150,000/mm3 at baseline; those receiving ethanol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adults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 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r w:rsidR="00DA0955">
              <w:rPr>
                <w:rFonts w:ascii="Arial" w:hAnsi="Arial" w:cs="Arial"/>
                <w:sz w:val="18"/>
                <w:szCs w:val="18"/>
              </w:rPr>
              <w:t xml:space="preserve">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325mg - single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bleeding-time changes associated with aspirin in normal volunteers who ingest omega-3s</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 (EPA, DHA or both)</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8000mg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6</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subjects asked not to change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subjects asked not to change exercise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subjects asked not to change lifestyle</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Napoli</w:t>
            </w: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1998</w:t>
            </w:r>
            <w:r w:rsidRPr="00255472">
              <w:rPr>
                <w:rFonts w:ascii="Arial" w:hAnsi="Arial" w:cs="Arial"/>
                <w:noProof/>
                <w:sz w:val="18"/>
                <w:szCs w:val="18"/>
                <w:vertAlign w:val="superscript"/>
                <w:lang w:val="fr-CA"/>
              </w:rPr>
              <w:t>52</w:t>
            </w:r>
            <w:r w:rsidRPr="00255472">
              <w:rPr>
                <w:rFonts w:ascii="Arial" w:hAnsi="Arial" w:cs="Arial"/>
                <w:sz w:val="18"/>
                <w:szCs w:val="18"/>
                <w:lang w:val="fr-CA"/>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220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37.2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hypercholesterolemia and normal concentrations of triglycerides,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evidence of renal, liver, or endocrine diseases, type I, IIb, III, IV, V, hyperlipoproteinemia, recent MI or apoplexy (&lt;4 months), unstable angina pectoris, surgery within the previous 4 months, severe or mild heart failure, DM or fasting glycemia (blood glucose &gt;150mg/dl), chronic pancreatitis, porphyria, lupus erythematosus, alcoholism, patients receiving active treatment with fish oil preparations, corticosteroid, estrogens, androgens, quinidine, coumarinic derivatives, theophylline, barbituates, aluminum salts, laxatives, thiazitic diuretics and other hypolipidemic drugs and any who were hypersensitive to drugs, potentially pregnant, or breast feeding</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hypercholesterolemic patients with normal concentrations of triglycerides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Pravastatin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20-40mg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60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52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N2 = 52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Placebo</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American Heart Association Step I diet</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lastRenderedPageBreak/>
              <w:t>Neil (2010)</w:t>
            </w:r>
            <w:r w:rsidRPr="00255472">
              <w:rPr>
                <w:rFonts w:ascii="Arial" w:hAnsi="Arial" w:cs="Arial"/>
                <w:noProof/>
                <w:sz w:val="18"/>
                <w:szCs w:val="18"/>
                <w:vertAlign w:val="superscript"/>
              </w:rPr>
              <w:t>53</w:t>
            </w:r>
          </w:p>
        </w:tc>
        <w:tc>
          <w:tcPr>
            <w:tcW w:w="1290" w:type="pct"/>
            <w:tcMar>
              <w:top w:w="15" w:type="dxa"/>
              <w:left w:w="15" w:type="dxa"/>
              <w:bottom w:w="15" w:type="dxa"/>
              <w:right w:w="15" w:type="dxa"/>
            </w:tcMar>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 included/randomized:</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Age: 64 (SD 11.5) </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%female: 41.6</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Comorbidities (other than indication(s) for CVDs</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CHD Risk Level: at high risk of CHD</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Inclusion Criteria: Type 2 diabetes for at least 3 months; 18 years of age or older; no known CVD events; not thought by their general practitioner to be at high enough CVD risk to require immediate lipid-lowering therapy</w:t>
            </w:r>
            <w:r w:rsidRPr="00255472">
              <w:rPr>
                <w:rFonts w:ascii="Arial" w:hAnsi="Arial" w:cs="Arial"/>
                <w:sz w:val="18"/>
                <w:szCs w:val="18"/>
              </w:rPr>
              <w:br/>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Exclusion Criteria: Taking lipid lowering therapy; plasma triglycerides &gt; 8 mmol/L; impaired hepatic function (ALT &gt; 2 times upper limit of normal range); uncontrolled diabetes (HbA1c &gt; 10%); uncontrolled hypertension (bp &gt; 160/100 mm Hg); elevated creatine kinase (&gt; 3 times upper limit of normal)</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Brief Description: Patients with type 2 diabetes and no known CVD events.</w:t>
            </w:r>
          </w:p>
        </w:tc>
        <w:tc>
          <w:tcPr>
            <w:tcW w:w="600"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Industry Funded: Yes (funded by Pfizer)</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Treatment Duration supplement(s):</w:t>
            </w:r>
            <w:r w:rsidR="00C244AF" w:rsidRPr="00255472">
              <w:rPr>
                <w:rFonts w:ascii="Arial" w:hAnsi="Arial" w:cs="Arial"/>
                <w:sz w:val="18"/>
                <w:szCs w:val="18"/>
              </w:rPr>
              <w:t xml:space="preserve"> </w:t>
            </w:r>
            <w:r w:rsidRPr="00255472">
              <w:rPr>
                <w:rFonts w:ascii="Arial" w:hAnsi="Arial" w:cs="Arial"/>
                <w:sz w:val="18"/>
                <w:szCs w:val="18"/>
              </w:rPr>
              <w:t>120 days</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Treatment Duration</w:t>
            </w:r>
            <w:r w:rsidRPr="00255472">
              <w:rPr>
                <w:rFonts w:ascii="Arial" w:hAnsi="Arial" w:cs="Arial"/>
                <w:sz w:val="18"/>
                <w:szCs w:val="18"/>
                <w:vertAlign w:val="subscript"/>
              </w:rPr>
              <w:t>CVD Drug(s):</w:t>
            </w:r>
            <w:r w:rsidR="00DA0955">
              <w:rPr>
                <w:rFonts w:ascii="Arial" w:hAnsi="Arial" w:cs="Arial"/>
                <w:sz w:val="18"/>
                <w:szCs w:val="18"/>
                <w:vertAlign w:val="subscript"/>
              </w:rPr>
              <w:t xml:space="preserve"> </w:t>
            </w:r>
            <w:r w:rsidRPr="00255472">
              <w:rPr>
                <w:rFonts w:ascii="Arial" w:hAnsi="Arial" w:cs="Arial"/>
                <w:sz w:val="18"/>
                <w:szCs w:val="18"/>
              </w:rPr>
              <w:t>similar to dietary treatment</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Generic Name(s): Lipitor/ atorvastatin</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Mean Daily Dose: 20 mg/d</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C244AF">
            <w:pPr>
              <w:spacing w:after="0"/>
              <w:ind w:firstLine="0"/>
              <w:rPr>
                <w:rFonts w:ascii="Arial" w:hAnsi="Arial" w:cs="Arial"/>
                <w:sz w:val="18"/>
                <w:szCs w:val="18"/>
              </w:rPr>
            </w:pPr>
          </w:p>
        </w:tc>
        <w:tc>
          <w:tcPr>
            <w:tcW w:w="679" w:type="pct"/>
          </w:tcPr>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 163</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Supplement(s): omega-3 fatty acids </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Daily Dose: 2 g/day</w:t>
            </w:r>
          </w:p>
          <w:p w:rsidR="00980857" w:rsidRPr="00255472" w:rsidRDefault="00980857" w:rsidP="00C244AF">
            <w:pPr>
              <w:spacing w:after="0"/>
              <w:ind w:firstLine="0"/>
              <w:rPr>
                <w:rFonts w:ascii="Arial" w:hAnsi="Arial" w:cs="Arial"/>
                <w:sz w:val="18"/>
                <w:szCs w:val="18"/>
              </w:rPr>
            </w:pPr>
          </w:p>
        </w:tc>
        <w:tc>
          <w:tcPr>
            <w:tcW w:w="529" w:type="pct"/>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w:t>
            </w:r>
            <w:r w:rsidRPr="00255472">
              <w:rPr>
                <w:rFonts w:ascii="Arial" w:hAnsi="Arial" w:cs="Arial"/>
                <w:sz w:val="18"/>
                <w:szCs w:val="18"/>
                <w:vertAlign w:val="subscript"/>
              </w:rPr>
              <w:t>1</w:t>
            </w:r>
            <w:r w:rsidRPr="00255472">
              <w:rPr>
                <w:rFonts w:ascii="Arial" w:hAnsi="Arial" w:cs="Arial"/>
                <w:sz w:val="18"/>
                <w:szCs w:val="18"/>
              </w:rPr>
              <w:t xml:space="preserve"> = 169</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 no treatment</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w:t>
            </w:r>
            <w:r w:rsidRPr="00255472">
              <w:rPr>
                <w:rFonts w:ascii="Arial" w:hAnsi="Arial" w:cs="Arial"/>
                <w:sz w:val="18"/>
                <w:szCs w:val="18"/>
                <w:vertAlign w:val="subscript"/>
              </w:rPr>
              <w:t>2</w:t>
            </w:r>
            <w:r w:rsidRPr="00255472">
              <w:rPr>
                <w:rFonts w:ascii="Arial" w:hAnsi="Arial" w:cs="Arial"/>
                <w:sz w:val="18"/>
                <w:szCs w:val="18"/>
              </w:rPr>
              <w:t xml:space="preserve"> = None</w:t>
            </w:r>
          </w:p>
          <w:p w:rsidR="00980857" w:rsidRPr="00255472" w:rsidRDefault="00980857" w:rsidP="00C244AF">
            <w:pPr>
              <w:spacing w:after="0"/>
              <w:ind w:firstLine="0"/>
              <w:rPr>
                <w:rFonts w:ascii="Arial" w:hAnsi="Arial" w:cs="Arial"/>
                <w:sz w:val="18"/>
                <w:szCs w:val="18"/>
              </w:rPr>
            </w:pPr>
          </w:p>
        </w:tc>
        <w:tc>
          <w:tcPr>
            <w:tcW w:w="626" w:type="pct"/>
            <w:tcBorders>
              <w:right w:val="nil"/>
            </w:tcBorders>
          </w:tcPr>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Dietary Intervention(s): None </w:t>
            </w:r>
            <w:r w:rsidRPr="00255472">
              <w:rPr>
                <w:rFonts w:ascii="Arial" w:hAnsi="Arial" w:cs="Arial"/>
                <w:sz w:val="18"/>
                <w:szCs w:val="18"/>
              </w:rPr>
              <w:br/>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 xml:space="preserve">Exercise Intervention(s): </w:t>
            </w:r>
            <w:r w:rsidRPr="00255472">
              <w:rPr>
                <w:rFonts w:ascii="Arial" w:hAnsi="Arial" w:cs="Arial"/>
                <w:sz w:val="18"/>
                <w:szCs w:val="18"/>
              </w:rPr>
              <w:br/>
              <w:t>None</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Other Lifestyle Intervention(s): None</w:t>
            </w:r>
          </w:p>
          <w:p w:rsidR="00980857" w:rsidRPr="00255472" w:rsidRDefault="00980857" w:rsidP="00C244AF">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b/>
                <w:sz w:val="18"/>
                <w:szCs w:val="18"/>
              </w:rPr>
              <w:t>Note:</w:t>
            </w:r>
            <w:r w:rsidRPr="00255472">
              <w:rPr>
                <w:rFonts w:ascii="Arial" w:hAnsi="Arial" w:cs="Arial"/>
                <w:sz w:val="18"/>
                <w:szCs w:val="18"/>
              </w:rPr>
              <w:t xml:space="preserve"> This study has four groups (double placebo; atorvastatin alone; omega-3 alone; and atorvastatin + omega-3.</w:t>
            </w:r>
            <w:r w:rsidR="00DA0955">
              <w:rPr>
                <w:rFonts w:ascii="Arial" w:hAnsi="Arial" w:cs="Arial"/>
                <w:sz w:val="18"/>
                <w:szCs w:val="18"/>
              </w:rPr>
              <w:t xml:space="preserve"> </w:t>
            </w:r>
            <w:r w:rsidRPr="00255472">
              <w:rPr>
                <w:rFonts w:ascii="Arial" w:hAnsi="Arial" w:cs="Arial"/>
                <w:sz w:val="18"/>
                <w:szCs w:val="18"/>
              </w:rPr>
              <w:t>Only the atorvastatin alone and atorvastatin+omega-3 groups have been extracted.</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Nordoy 2000</w:t>
            </w:r>
            <w:r w:rsidRPr="00255472">
              <w:rPr>
                <w:rFonts w:ascii="Arial" w:hAnsi="Arial" w:cs="Arial"/>
                <w:noProof/>
                <w:sz w:val="18"/>
                <w:szCs w:val="18"/>
                <w:vertAlign w:val="superscript"/>
              </w:rPr>
              <w:t>54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46.75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29.2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Type II diabetes (2)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combined hyperlipemia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combined hyperlipemia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Generic Name(s):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Nordøy 2003</w:t>
            </w:r>
            <w:r w:rsidRPr="00255472">
              <w:rPr>
                <w:rFonts w:ascii="Arial" w:hAnsi="Arial" w:cs="Arial"/>
                <w:noProof/>
                <w:sz w:val="18"/>
                <w:szCs w:val="18"/>
                <w:vertAlign w:val="superscript"/>
              </w:rPr>
              <w:t>55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49.8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28.5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Type II Diabetes (2)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hyperlipemia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hyperlipemia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atorvastatin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given dietary advice by a clinical dietician to adjust their macronutrient intake to comprise 30% (or less) of energy from fat, with no more than 10% of saturated fat, 55-60% from carbohydrate (preferably complex types) and 10-15% of energy from protein.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Paolisso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1995</w:t>
            </w:r>
            <w:r w:rsidRPr="00255472">
              <w:rPr>
                <w:rFonts w:ascii="Arial" w:hAnsi="Arial" w:cs="Arial"/>
                <w:noProof/>
                <w:sz w:val="18"/>
                <w:szCs w:val="18"/>
                <w:vertAlign w:val="superscript"/>
              </w:rPr>
              <w:t>56</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73.8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obese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elderly patients with CHD</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120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120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nifedipine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Calcium channel 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88mg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900mg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NR</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Paolisso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1992</w:t>
            </w:r>
            <w:r w:rsidRPr="00255472">
              <w:rPr>
                <w:rFonts w:ascii="Arial" w:hAnsi="Arial" w:cs="Arial"/>
                <w:noProof/>
                <w:sz w:val="18"/>
                <w:szCs w:val="18"/>
                <w:vertAlign w:val="superscript"/>
              </w:rPr>
              <w:t>57</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64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hypertensive patients receiving long term (&gt;1 year) thiazide treatment, (benign essential hypertension)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renal impairment, papilloedema, family history of diabetes or drug use known to interfere with glucose metabolism for at least 4 weeks.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hypertensive patients receiving thiazide treatment</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hydrochlorthiazide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Diuretic: Thiazide/Thiazide-like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Magnesium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4500mg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9</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Placebo</w:t>
            </w: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Playford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2003</w:t>
            </w:r>
            <w:r w:rsidRPr="00255472">
              <w:rPr>
                <w:rFonts w:ascii="Arial" w:hAnsi="Arial" w:cs="Arial"/>
                <w:noProof/>
                <w:sz w:val="18"/>
                <w:szCs w:val="18"/>
                <w:vertAlign w:val="superscript"/>
              </w:rPr>
              <w:t>58</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53.1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30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type 2 diabetes and dyslipidaenua (fasting triglycerdie &gt; 1.8mmol/l or HDL-cholesterol &lt; 1.0 mmol/l, totalcholesterol &lt; 6.5 mmol/l, total cholesterol/HDL-cholesterol ratio &gt;4</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age &gt; 75 years, BMI &gt; 40kg/m2, history of CV event, insulin therapy, smloking, macroalbuminuria, creatinemia (&gt; 150micromol/l), abnormal liver or muscle enzymes, use of antioxidants and lpid-regulators, hypertension (&gt;160/90 mmHg), habitual alcohol intake &gt; 3 standard drinks or treatment with angiotensin-converting-enzyme inhibitors and calcium antagonists.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Diabetic subjects with dyslipidaemia</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Australia/New Zealand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Fenofibrate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200mg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Coenzyme Q10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patients were on an isocalroic fat-modified diet for the 6 week run-in period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Reyes 1984</w:t>
            </w:r>
            <w:r w:rsidRPr="00255472">
              <w:rPr>
                <w:rFonts w:ascii="Arial" w:hAnsi="Arial" w:cs="Arial"/>
                <w:noProof/>
                <w:sz w:val="18"/>
                <w:szCs w:val="18"/>
                <w:vertAlign w:val="superscript"/>
              </w:rPr>
              <w:t>59</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80.9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Caucasian (100)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supine diastolic arterial pressures of 100 to 140 mmHg, recorded on at least two occasions separated by 7 days preceding the onset of therapy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patients with one or more of the following: i) secondary or renal hypertension; ii) congestive cardiac failure; iii)a history or clinical evidence of cerebrovascular impairment, including retinal haemorrages; iv) evidence of renal impairment defined as a serum creatinine level of more than 1.5 mg/dl v) hyper- or hypokalemia, arbitrarily defined by limits of 5.5 and 3.5 mol/l with a history or clinical evidence of gout vii) a history or clinical evidence of hepatic insufficiency viii) coronary insufficiancy ix)diabetes mellitus x) rheumatic conditions requiring drug therapy xi) any severe systemic disease likely to interfere with objectives of the study xii) pregnant women xiii) lactating mothers xiv) patients considered uncooperative in terms of compliance.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Caucasian ambulant patients with moderate to severe uncomplicated hypertension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Africa)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Industry Funded: </w:t>
            </w:r>
            <w:r w:rsidRPr="00255472">
              <w:rPr>
                <w:rFonts w:ascii="Arial" w:hAnsi="Arial" w:cs="Arial"/>
                <w:sz w:val="18"/>
                <w:szCs w:val="18"/>
              </w:rPr>
              <w:lastRenderedPageBreak/>
              <w:t>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hydrochlorothiazide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Diuretic: Thiazide/Thiazide-like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Mode of </w:t>
            </w:r>
            <w:r w:rsidRPr="00255472">
              <w:rPr>
                <w:rFonts w:ascii="Arial" w:hAnsi="Arial" w:cs="Arial"/>
                <w:sz w:val="18"/>
                <w:szCs w:val="18"/>
              </w:rPr>
              <w:lastRenderedPageBreak/>
              <w:t>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Dose:50mg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highlight w:val="yellow"/>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Magnesium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Daily Dose: 15.78 mmol MgCl2</w:t>
            </w:r>
          </w:p>
          <w:p w:rsidR="00980857" w:rsidRPr="00255472" w:rsidRDefault="00980857" w:rsidP="00DF7310">
            <w:pPr>
              <w:spacing w:after="0"/>
              <w:ind w:firstLine="0"/>
              <w:rPr>
                <w:rFonts w:ascii="Arial" w:hAnsi="Arial" w:cs="Arial"/>
                <w:sz w:val="18"/>
                <w:szCs w:val="18"/>
                <w:highlight w:val="yellow"/>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lastRenderedPageBreak/>
              <w:t>N1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Exercise </w:t>
            </w:r>
            <w:r w:rsidRPr="00255472">
              <w:rPr>
                <w:rFonts w:ascii="Arial" w:hAnsi="Arial" w:cs="Arial"/>
                <w:sz w:val="18"/>
                <w:szCs w:val="18"/>
              </w:rPr>
              <w:lastRenderedPageBreak/>
              <w:t>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Roth 2009</w:t>
            </w:r>
            <w:r w:rsidRPr="00255472">
              <w:rPr>
                <w:rFonts w:ascii="Arial" w:hAnsi="Arial" w:cs="Arial"/>
                <w:noProof/>
                <w:sz w:val="18"/>
                <w:szCs w:val="18"/>
                <w:vertAlign w:val="superscript"/>
              </w:rPr>
              <w:t>60</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596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included/randomized: 167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52.04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73.6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(88.6)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(1.8)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(7.2)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Other, not specified (6.6)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DM, high BMI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Hypertriglyceridemic men and women (fasting TG &lt;/=500 - &lt;/= 1300 mg/dL) aged 18-79 years, with BMI &gt;/= 25 kg/m2 and &lt;/=43 kg/m2</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use of warfarin, cyclic sex hormone tx, or other agents known to affect lipid levels during the run-in or tx, use of cyclosporine, systemic or high dose topical corticosteroids, androgens, phenytoin, isotretinoin, or thyroid hormones (except stable-dose replacement tx- 60 days prior to day 42. While on tx also excluded pts with sensitivity to seafood/fish, fibrates, EPA or DHA in addition to any history of pancreatitis, sig. renal, hepatic, biliary, or GI disease, type 1 DM, or uncontrolled type 2 DM, pregnant women, lactating, or childbearing potential; a medically approved method of contraception were also excluded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Brief Description: subjects with very high </w:t>
            </w:r>
            <w:r w:rsidRPr="00255472">
              <w:rPr>
                <w:rFonts w:ascii="Arial" w:hAnsi="Arial" w:cs="Arial"/>
                <w:sz w:val="18"/>
                <w:szCs w:val="18"/>
              </w:rPr>
              <w:lastRenderedPageBreak/>
              <w:t>TG levels (&gt; or =500 mg/dL)</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xml:space="preserve">Study Design: </w:t>
            </w:r>
            <w:r w:rsidRPr="00255472">
              <w:rPr>
                <w:rFonts w:ascii="Arial" w:hAnsi="Arial" w:cs="Arial"/>
                <w:sz w:val="18"/>
                <w:szCs w:val="18"/>
              </w:rPr>
              <w:lastRenderedPageBreak/>
              <w:t>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56</w:t>
            </w:r>
          </w:p>
          <w:p w:rsidR="00980857" w:rsidRPr="00255472" w:rsidRDefault="00980857" w:rsidP="00DF7310">
            <w:pPr>
              <w:spacing w:after="0"/>
              <w:ind w:firstLine="0"/>
              <w:rPr>
                <w:rFonts w:ascii="Arial" w:hAnsi="Arial" w:cs="Arial"/>
                <w:sz w:val="18"/>
                <w:szCs w:val="18"/>
              </w:rPr>
            </w:pP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xml:space="preserve">Generic Name(s): </w:t>
            </w:r>
            <w:r w:rsidRPr="00255472">
              <w:rPr>
                <w:rFonts w:ascii="Arial" w:hAnsi="Arial" w:cs="Arial"/>
                <w:sz w:val="18"/>
                <w:szCs w:val="18"/>
              </w:rPr>
              <w:lastRenderedPageBreak/>
              <w:t>fenofibrates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Dose:130mg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81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N1 = 82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 xml:space="preserve">Non-CVD </w:t>
            </w:r>
            <w:r w:rsidRPr="00255472">
              <w:rPr>
                <w:rFonts w:ascii="Arial" w:hAnsi="Arial" w:cs="Arial"/>
                <w:sz w:val="18"/>
                <w:szCs w:val="18"/>
              </w:rPr>
              <w:lastRenderedPageBreak/>
              <w:t>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a diet run in period; reinforced NCEP TLC diet during the tx period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maintaining currect physical activity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Sconce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61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70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Caucasian(100)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target international normalized ratio (INR) range of 2.0 to 3.0, had been taking warfarin for at least 9 months, and were defined as having unstable control</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Those patients whose instability was deemed to be due to poor adherence to warfarin therapy, changes in concurrent medication, comorbidity, or irregular and excessive alcohol consumption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atrial fibrillation anticoagulated with warfarin for thromboembolic prophylaxis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180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w:t>
            </w:r>
            <w:r w:rsidR="00DA0955">
              <w:rPr>
                <w:rFonts w:ascii="Arial" w:hAnsi="Arial" w:cs="Arial"/>
                <w:sz w:val="18"/>
                <w:szCs w:val="18"/>
              </w:rPr>
              <w:t xml:space="preserve"> </w:t>
            </w:r>
            <w:r w:rsidRPr="00255472">
              <w:rPr>
                <w:rFonts w:ascii="Arial" w:hAnsi="Arial" w:cs="Arial"/>
                <w:sz w:val="18"/>
                <w:szCs w:val="18"/>
              </w:rPr>
              <w:t>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 (various starting and ending dosages)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35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K</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0.15mg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33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Placebo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Steiner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1995</w:t>
            </w:r>
            <w:r w:rsidRPr="00255472">
              <w:rPr>
                <w:rFonts w:ascii="Arial" w:hAnsi="Arial" w:cs="Arial"/>
                <w:noProof/>
                <w:sz w:val="18"/>
                <w:szCs w:val="18"/>
                <w:vertAlign w:val="superscript"/>
              </w:rPr>
              <w:t>62</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100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71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Comorbidities (other than indication(s) </w:t>
            </w:r>
            <w:r w:rsidRPr="00255472">
              <w:rPr>
                <w:rFonts w:ascii="Arial" w:hAnsi="Arial" w:cs="Arial"/>
                <w:sz w:val="18"/>
                <w:szCs w:val="18"/>
              </w:rPr>
              <w:lastRenderedPageBreak/>
              <w:t>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aged 18 y in whom any of the following conditions were diagnosed: 1) minor stroke, a focal ischemic cerebrovascular event that results in a less-than maximal neurologic deficit within the involved vascular distribution; 2) reversible ischemic neurologic deficit (RIND), a focal ischemic cerebrovascular event producing a neurologic deficit that persists for &gt; 24 h but &lt; 3 wk; 3) retinal ischemic event, an acute transient or permanent impairment of visual function caused by retinal ischemia; or 4) transient ischemic attack, a focal cerebrovascular event producing a neurologic deficit that resolves completely within 24 h of its onset. focal neurologic deficit had to occur within 8 wk of enrollment into the study, they had a performance status that allowed them to spend &gt; 50% of their waking hours out of bed, they had no known allergy or contraindication to the use of aspirin or a-tocopherol, had no history of primary or secondary hypercoagulable state, were not using anticoagulants or platelet-active drugs other than aspirin, had no disorder other than atherosclerotic cerebrovascular disease;had no evidence of intracranial hemorrhage and no concurrent medical or signicifant psychiatric disease</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Brief Description: patients with transient ischemic attacks, minor strokes, or residual ischemic neurologic deficits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North America)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Industry </w:t>
            </w:r>
            <w:r w:rsidRPr="00255472">
              <w:rPr>
                <w:rFonts w:ascii="Arial" w:hAnsi="Arial" w:cs="Arial"/>
                <w:sz w:val="18"/>
                <w:szCs w:val="18"/>
              </w:rPr>
              <w:lastRenderedPageBreak/>
              <w:t>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730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730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p w:rsidR="00980857" w:rsidRPr="00255472" w:rsidRDefault="00980857" w:rsidP="00DF7310">
            <w:pPr>
              <w:spacing w:after="0"/>
              <w:ind w:firstLine="0"/>
              <w:rPr>
                <w:rFonts w:ascii="Arial" w:hAnsi="Arial" w:cs="Arial"/>
                <w:sz w:val="18"/>
                <w:szCs w:val="18"/>
              </w:rPr>
            </w:pP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325mg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N: 52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400IU</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48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Placebo (not described)</w:t>
            </w: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Sutken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2006</w:t>
            </w:r>
            <w:r w:rsidRPr="00255472">
              <w:rPr>
                <w:rFonts w:ascii="Arial" w:hAnsi="Arial" w:cs="Arial"/>
                <w:noProof/>
                <w:sz w:val="18"/>
                <w:szCs w:val="18"/>
                <w:vertAlign w:val="superscript"/>
              </w:rPr>
              <w:t>63</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29.5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Hyperlipidemic subjects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w:t>
            </w:r>
            <w:proofErr w:type="gramStart"/>
            <w:r w:rsidRPr="00255472">
              <w:rPr>
                <w:rFonts w:ascii="Arial" w:hAnsi="Arial" w:cs="Arial"/>
                <w:sz w:val="18"/>
                <w:szCs w:val="18"/>
              </w:rPr>
              <w:t>:Acute</w:t>
            </w:r>
            <w:proofErr w:type="gramEnd"/>
            <w:r w:rsidRPr="00255472">
              <w:rPr>
                <w:rFonts w:ascii="Arial" w:hAnsi="Arial" w:cs="Arial"/>
                <w:sz w:val="18"/>
                <w:szCs w:val="18"/>
              </w:rPr>
              <w:t xml:space="preserve"> illness or severe chronic disease, diabetes, hypertension, angina pectoris or previous MI or peripheral vascular disease, thyroid dysfunction, alcohol intake, smoking, hormonal treatment, lipid-lowering medication, or vitamin or iron supplementation in the last 6 months before admission.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Young Hyperlipidemic</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Controlled clinical trial (CCT)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Middle East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30</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NR</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Gemfibrozil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1200 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600 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10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12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Vitamin E </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Sutken 2006</w:t>
            </w:r>
            <w:r w:rsidRPr="00255472">
              <w:rPr>
                <w:rFonts w:ascii="Arial" w:hAnsi="Arial" w:cs="Arial"/>
                <w:noProof/>
                <w:sz w:val="18"/>
                <w:szCs w:val="18"/>
                <w:vertAlign w:val="superscript"/>
              </w:rPr>
              <w:t>63</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71.5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46.7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NR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90-1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Hyperlipidemic subjects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Acute illness or severe chronic disease, diabetes, hypertension, angina pectoris or previous MI or peripheral vascular disease, thyroid dysfunction, alcohol intake, smoking, hormonal treatment, lipid-lowering medication, or vitamin or iron supplementation in the last 6 months before admission.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Elderly hyperlipidemic</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Controlled Clincal Trial</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Middle East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Specialty Clinic</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NR</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Gemfibrozil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Fibrate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1200 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20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Vitamin 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600 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23</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N2 = 22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Vitamin E </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Svaneborg 2002</w:t>
            </w:r>
            <w:r w:rsidRPr="00255472">
              <w:rPr>
                <w:rFonts w:ascii="Arial" w:hAnsi="Arial" w:cs="Arial"/>
                <w:noProof/>
                <w:sz w:val="18"/>
                <w:szCs w:val="18"/>
                <w:vertAlign w:val="superscript"/>
              </w:rPr>
              <w:t>64</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31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healthy, nonsmoking, nonobese men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nonsmoking, nonobese men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NR (likely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NA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Parenteral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100mg</w:t>
            </w:r>
          </w:p>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Reason for taking CVD drug(s): Aim was to test platelet function with ASA &amp; n-3s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Fish oils/marine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10000mg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6</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Tankanow</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2003</w:t>
            </w:r>
            <w:r w:rsidRPr="00255472">
              <w:rPr>
                <w:rFonts w:ascii="Arial" w:hAnsi="Arial" w:cs="Arial"/>
                <w:noProof/>
                <w:sz w:val="18"/>
                <w:szCs w:val="18"/>
                <w:vertAlign w:val="superscript"/>
              </w:rPr>
              <w:t>65</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11</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11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age &gt; 18 years, serum</w:t>
            </w:r>
            <w:r w:rsidRPr="00255472">
              <w:rPr>
                <w:rFonts w:ascii="Arial" w:hAnsi="Arial" w:cs="Arial"/>
                <w:sz w:val="18"/>
                <w:szCs w:val="18"/>
              </w:rPr>
              <w:br/>
              <w:t>creatinine &lt; 1.2 mg/dL, and bilirubin &lt; 1.5 mg/dL</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Individuals taking concurrent scheduled medications (excluding oral contraceptives), those with significant</w:t>
            </w:r>
            <w:r w:rsidRPr="00255472">
              <w:rPr>
                <w:rFonts w:ascii="Arial" w:hAnsi="Arial" w:cs="Arial"/>
                <w:sz w:val="18"/>
                <w:szCs w:val="18"/>
              </w:rPr>
              <w:br/>
              <w:t>medical histories, and smokers and pregnant females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subjects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North America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0.5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3</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Digoxin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Inotropics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0.25mg</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drug(s):Pharmacokinetics and pharmackodynamic study</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Hawthorn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Administration: Capsule/Tablet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900mg</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oral contraceptives not excluded</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C74BBF">
        <w:trPr>
          <w:divId w:val="249197538"/>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Watson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1999</w:t>
            </w:r>
            <w:r w:rsidRPr="00255472">
              <w:rPr>
                <w:rFonts w:ascii="Arial" w:hAnsi="Arial" w:cs="Arial"/>
                <w:noProof/>
                <w:sz w:val="18"/>
                <w:szCs w:val="18"/>
                <w:vertAlign w:val="superscript"/>
              </w:rPr>
              <w:t>66</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30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13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Inclusion Criteria: between 18 and 75 years of age with ischemic or idiopathic dilated cardiomyopathy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obstructive valvular heart disease, renal (serum creatinine &gt;0.18 mmol/liter-1) or hepatic (serum aspartate or alanine aminotransaminase &gt; upper limit of normal) impairment, a history of alcohol or drug abuse or an inadequate echocardiographic study, or if they were pregnant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between 18 and 75 years of age with ischemic or idiopathic dilated cardiomyopathy</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Australia/New Zealand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Setting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Treatment </w:t>
            </w:r>
            <w:r w:rsidRPr="00255472">
              <w:rPr>
                <w:rFonts w:ascii="Arial" w:hAnsi="Arial" w:cs="Arial"/>
                <w:sz w:val="18"/>
                <w:szCs w:val="18"/>
              </w:rPr>
              <w:lastRenderedPageBreak/>
              <w:t>Duration supplement(s): 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84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p w:rsidR="00980857" w:rsidRPr="00255472" w:rsidRDefault="00980857" w:rsidP="00DF7310">
            <w:pPr>
              <w:spacing w:after="0"/>
              <w:ind w:firstLine="0"/>
              <w:rPr>
                <w:rFonts w:ascii="Arial" w:hAnsi="Arial" w:cs="Arial"/>
                <w:sz w:val="18"/>
                <w:szCs w:val="18"/>
              </w:rPr>
            </w:pP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Generic Name(s): ACE inhibitors (no description)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RAAS Antagonist: ACEI</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Reason for taking </w:t>
            </w:r>
            <w:r w:rsidRPr="00255472">
              <w:rPr>
                <w:rFonts w:ascii="Arial" w:hAnsi="Arial" w:cs="Arial"/>
                <w:sz w:val="18"/>
                <w:szCs w:val="18"/>
              </w:rPr>
              <w:lastRenderedPageBreak/>
              <w:t>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 Furosemide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Diuretic: Loop</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Name:digoxin, also hydralazine and/or nitrates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Inotropics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Coenzyme Q10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99mg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NR</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Wirell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1994</w:t>
            </w:r>
            <w:r w:rsidRPr="00255472">
              <w:rPr>
                <w:rFonts w:ascii="Arial" w:hAnsi="Arial" w:cs="Arial"/>
                <w:noProof/>
                <w:sz w:val="18"/>
                <w:szCs w:val="18"/>
                <w:vertAlign w:val="superscript"/>
              </w:rPr>
              <w:t>67</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N screened: NR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35.4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mild to moderate essential hypertension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Patients treated with drugs containing magnesium, ACE-inhibitors, Ca antagonists, or potassium and magnesium sparing diuretics; s-creatinine &gt;150 mmol L-1 or serum electrolyte disturbances (sodium and potassium) according to hospital normal values; Recent myocardial infarction less than 3 months before study start or cardiac failure class NYHA IV, AV block II or III; pregnancy, malignancies, diabetes mellitus, rheumatic diseases, collagenoses and patients unable to cooperate; DIastolic blood pressure exceeding 110 mmHg and systolic blood pressure exceeding 190 mmHg</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Brief Description: Patients with mild to moderate essential hypertension</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Speciality clinic</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56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metoprolol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b-blockers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atenolol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b-blockers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pindolol &amp; propanolol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b-blockers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NR</w:t>
            </w: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Magnesium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Administration: Powder mixed with water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365mg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Wolf</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2006</w:t>
            </w:r>
            <w:r w:rsidRPr="00255472">
              <w:rPr>
                <w:rFonts w:ascii="Arial" w:hAnsi="Arial" w:cs="Arial"/>
                <w:noProof/>
                <w:sz w:val="18"/>
                <w:szCs w:val="18"/>
                <w:vertAlign w:val="superscript"/>
              </w:rPr>
              <w:t>68</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50</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27.2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(98)</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normal laboratory values, had not been taking any medication within the last 3 weeks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Intake of medication containing ASA, anticoagulants,NSAIDs, sulfinpyrazone, ticlopidine and lipid-lowering agents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subjects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Crossover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 Europe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General community</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7</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ASA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Antiplatelets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500mg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to determine the influence of EBg761 on the effects of ASA on bleeding time, coagulation parameters and platelet activity</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Gingko biloba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240mg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50</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No treatment</w:t>
            </w: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paracetamol (15) and Sinupret (4)</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Yamamoto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1995</w:t>
            </w:r>
            <w:r w:rsidRPr="00255472">
              <w:rPr>
                <w:rFonts w:ascii="Arial" w:hAnsi="Arial" w:cs="Arial"/>
                <w:noProof/>
                <w:sz w:val="18"/>
                <w:szCs w:val="18"/>
                <w:vertAlign w:val="superscript"/>
              </w:rPr>
              <w:t>69</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59.6</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22.7</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No</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high risk for CHD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variant angina, angiographically normal- appearing coronary artery after ISDM administration</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history of MI, DM, hypertension, heart failure or hyperlipidemia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Participants with variant angina</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Region: East Asia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Yes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112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 diltiazem</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Calcium channel blockers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90-120mg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Cardiovascular indication</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Omega-3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1800mg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N1 = 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 treatment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Young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2007</w:t>
            </w:r>
            <w:r w:rsidRPr="00255472">
              <w:rPr>
                <w:rFonts w:ascii="Arial" w:hAnsi="Arial" w:cs="Arial"/>
                <w:noProof/>
                <w:sz w:val="18"/>
                <w:szCs w:val="18"/>
                <w:vertAlign w:val="superscript"/>
              </w:rPr>
              <w:t>70</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 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44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 59</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 50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Ethnicity: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Type II Diabetes (5)</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patients with self-reported myalgia who had been unable to continue taking adequate doses of statin therapy</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acute myocardial infarction or cerebral vascular accident within 3 months, alanine aminotransferase or aspartate aminotransferase &gt;3 times the upper level of normal, calculated glomerular filtration rate &lt;45 ml/min, decompensated heart failure, warfarin treatment, and antioxidant vitamin supplementation.</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patients with self-reported myalgia who had been unable to continue taking adequate doses of statin therapy</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Region:NR (likely Australia)</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Not reported</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Unclear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63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63</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C244AF">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simvastatin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Antilipidemic: HMG Co-A Reductase Inhibitor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Staring 10mg, ending 40mg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NR</w:t>
            </w:r>
          </w:p>
          <w:p w:rsidR="00980857" w:rsidRPr="00255472" w:rsidRDefault="00980857" w:rsidP="00DF7310">
            <w:pPr>
              <w:spacing w:after="0"/>
              <w:ind w:firstLine="0"/>
              <w:rPr>
                <w:rFonts w:ascii="Arial" w:hAnsi="Arial" w:cs="Arial"/>
                <w:sz w:val="18"/>
                <w:szCs w:val="18"/>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 22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Coenzyme Q10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Form of Administration: Capsule/Tablet</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Daily Dose: 200mg</w:t>
            </w:r>
          </w:p>
          <w:p w:rsidR="00980857" w:rsidRPr="00255472" w:rsidRDefault="00980857" w:rsidP="00DF7310">
            <w:pPr>
              <w:spacing w:after="0"/>
              <w:ind w:firstLine="0"/>
              <w:rPr>
                <w:rFonts w:ascii="Arial" w:hAnsi="Arial" w:cs="Arial"/>
                <w:sz w:val="18"/>
                <w:szCs w:val="18"/>
              </w:rPr>
            </w:pP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22</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autoSpaceDE w:val="0"/>
              <w:autoSpaceDN w:val="0"/>
              <w:adjustRightInd w:val="0"/>
              <w:spacing w:after="0"/>
              <w:ind w:firstLine="0"/>
              <w:rPr>
                <w:rFonts w:ascii="Arial" w:hAnsi="Arial" w:cs="Arial"/>
                <w:sz w:val="18"/>
                <w:szCs w:val="18"/>
              </w:rPr>
            </w:pPr>
            <w:r w:rsidRPr="00255472">
              <w:rPr>
                <w:rFonts w:ascii="Arial" w:hAnsi="Arial" w:cs="Arial"/>
                <w:sz w:val="18"/>
                <w:szCs w:val="18"/>
              </w:rPr>
              <w:t>Non-CVD Medications: Ezetimibe (4)</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r w:rsidR="00884628" w:rsidRPr="00255472" w:rsidTr="00255472">
        <w:trPr>
          <w:divId w:val="249197538"/>
          <w:cantSplit/>
          <w:tblCellSpacing w:w="15" w:type="dxa"/>
        </w:trPr>
        <w:tc>
          <w:tcPr>
            <w:tcW w:w="423" w:type="pct"/>
            <w:tcBorders>
              <w:left w:val="nil"/>
            </w:tcBorders>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lastRenderedPageBreak/>
              <w:t>Yuan 2004</w:t>
            </w:r>
            <w:r w:rsidRPr="00255472">
              <w:rPr>
                <w:rFonts w:ascii="Arial" w:hAnsi="Arial" w:cs="Arial"/>
                <w:noProof/>
                <w:sz w:val="18"/>
                <w:szCs w:val="18"/>
                <w:vertAlign w:val="superscript"/>
              </w:rPr>
              <w:t>71</w:t>
            </w:r>
            <w:r w:rsidRPr="00255472">
              <w:rPr>
                <w:rFonts w:ascii="Arial" w:hAnsi="Arial" w:cs="Arial"/>
                <w:sz w:val="18"/>
                <w:szCs w:val="18"/>
              </w:rPr>
              <w:t xml:space="preserve"> </w:t>
            </w:r>
          </w:p>
        </w:tc>
        <w:tc>
          <w:tcPr>
            <w:tcW w:w="1290" w:type="pct"/>
            <w:tcMar>
              <w:top w:w="15" w:type="dxa"/>
              <w:left w:w="15" w:type="dxa"/>
              <w:bottom w:w="15" w:type="dxa"/>
              <w:right w:w="15" w:type="dxa"/>
            </w:tcMar>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screened:</w:t>
            </w:r>
            <w:r w:rsidR="00DA0955">
              <w:rPr>
                <w:rFonts w:ascii="Arial" w:hAnsi="Arial" w:cs="Arial"/>
                <w:sz w:val="18"/>
                <w:szCs w:val="18"/>
              </w:rPr>
              <w:t xml:space="preserve"> </w:t>
            </w:r>
            <w:r w:rsidRPr="00255472">
              <w:rPr>
                <w:rFonts w:ascii="Arial" w:hAnsi="Arial" w:cs="Arial"/>
                <w:sz w:val="18"/>
                <w:szCs w:val="18"/>
              </w:rPr>
              <w:t>NR</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included/randomized: 21</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Age:</w:t>
            </w:r>
            <w:r w:rsidR="00DA0955">
              <w:rPr>
                <w:rFonts w:ascii="Arial" w:hAnsi="Arial" w:cs="Arial"/>
                <w:sz w:val="18"/>
                <w:szCs w:val="18"/>
              </w:rPr>
              <w:t xml:space="preserve"> </w:t>
            </w:r>
            <w:r w:rsidRPr="00255472">
              <w:rPr>
                <w:rFonts w:ascii="Arial" w:hAnsi="Arial" w:cs="Arial"/>
                <w:sz w:val="18"/>
                <w:szCs w:val="18"/>
              </w:rPr>
              <w:t>27.84</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%female:</w:t>
            </w:r>
            <w:r w:rsidR="00DA0955">
              <w:rPr>
                <w:rFonts w:ascii="Arial" w:hAnsi="Arial" w:cs="Arial"/>
                <w:sz w:val="18"/>
                <w:szCs w:val="18"/>
              </w:rPr>
              <w:t xml:space="preserve"> </w:t>
            </w:r>
            <w:r w:rsidRPr="00255472">
              <w:rPr>
                <w:rFonts w:ascii="Arial" w:hAnsi="Arial" w:cs="Arial"/>
                <w:sz w:val="18"/>
                <w:szCs w:val="18"/>
              </w:rPr>
              <w:t>55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Ethnicity: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Caucasian (10)</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African-American (5)</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Hispanic (3)</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Asian (2)</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Comorbidities (other than indication(s) for CVDs: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CHD Risk Level: At low risk for CHD (0-1 risk factors)</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Inclusion Criteria: NR</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Exclusion Criteria: NR</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Brief Description: Healthy patients</w:t>
            </w:r>
          </w:p>
        </w:tc>
        <w:tc>
          <w:tcPr>
            <w:tcW w:w="600"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Study Design: Parallel RCT</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Region: North America </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Setting: Primary Care</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Industry Funded: No</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 supplement(s): 28</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Treatment DurationCVD Drug(s):</w:t>
            </w:r>
            <w:r w:rsidR="00DA0955">
              <w:rPr>
                <w:rFonts w:ascii="Arial" w:hAnsi="Arial" w:cs="Arial"/>
                <w:sz w:val="18"/>
                <w:szCs w:val="18"/>
              </w:rPr>
              <w:t xml:space="preserve"> </w:t>
            </w:r>
            <w:r w:rsidRPr="00255472">
              <w:rPr>
                <w:rFonts w:ascii="Arial" w:hAnsi="Arial" w:cs="Arial"/>
                <w:sz w:val="18"/>
                <w:szCs w:val="18"/>
              </w:rPr>
              <w:t>6</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highlight w:val="yellow"/>
              </w:rPr>
            </w:pPr>
            <w:r w:rsidRPr="00255472">
              <w:rPr>
                <w:rFonts w:ascii="Arial" w:hAnsi="Arial" w:cs="Arial"/>
                <w:sz w:val="18"/>
                <w:szCs w:val="18"/>
              </w:rPr>
              <w:t>Duration of Followup: End of treatment period</w:t>
            </w:r>
          </w:p>
          <w:p w:rsidR="00980857" w:rsidRPr="00255472" w:rsidRDefault="00980857" w:rsidP="00DF7310">
            <w:pPr>
              <w:spacing w:after="0"/>
              <w:ind w:firstLine="0"/>
              <w:rPr>
                <w:rFonts w:ascii="Arial" w:hAnsi="Arial" w:cs="Arial"/>
                <w:sz w:val="18"/>
                <w:szCs w:val="18"/>
              </w:rPr>
            </w:pP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Duration of Longest Followup: End of treatment period</w:t>
            </w:r>
          </w:p>
        </w:tc>
        <w:tc>
          <w:tcPr>
            <w:tcW w:w="761"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Generic Name(s): Warfarin</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Drug Category: Anticoagulants</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Mode of Administration: Oral</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Mean Daily Dose: 5mg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Reason for taking CVD drug(s): Pharmacokinetics and pharmackodynamic study</w:t>
            </w:r>
          </w:p>
          <w:p w:rsidR="00980857" w:rsidRPr="00255472" w:rsidRDefault="00980857" w:rsidP="00DF7310">
            <w:pPr>
              <w:spacing w:after="0"/>
              <w:ind w:firstLine="0"/>
              <w:rPr>
                <w:rFonts w:ascii="Arial" w:hAnsi="Arial" w:cs="Arial"/>
                <w:sz w:val="18"/>
                <w:szCs w:val="18"/>
                <w:highlight w:val="yellow"/>
              </w:rPr>
            </w:pPr>
          </w:p>
          <w:p w:rsidR="00980857" w:rsidRPr="00255472" w:rsidRDefault="00980857" w:rsidP="00DF7310">
            <w:pPr>
              <w:spacing w:after="0"/>
              <w:ind w:firstLine="0"/>
              <w:rPr>
                <w:rFonts w:ascii="Arial" w:hAnsi="Arial" w:cs="Arial"/>
                <w:sz w:val="18"/>
                <w:szCs w:val="18"/>
                <w:highlight w:val="yellow"/>
              </w:rPr>
            </w:pPr>
          </w:p>
        </w:tc>
        <w:tc>
          <w:tcPr>
            <w:tcW w:w="679" w:type="pct"/>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 12</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Supplement(s): Ginseng</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Form of Administration: Capsule/Tablet </w:t>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 xml:space="preserve">Daily Dose: 2000mg </w:t>
            </w:r>
          </w:p>
        </w:tc>
        <w:tc>
          <w:tcPr>
            <w:tcW w:w="529" w:type="pct"/>
          </w:tcPr>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N1 = 8</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r w:rsidRPr="00255472">
              <w:rPr>
                <w:rFonts w:ascii="Arial" w:hAnsi="Arial" w:cs="Arial"/>
                <w:sz w:val="18"/>
                <w:szCs w:val="18"/>
                <w:lang w:val="fr-CA"/>
              </w:rPr>
              <w:t xml:space="preserve"> Placebo</w:t>
            </w:r>
          </w:p>
          <w:p w:rsidR="00980857" w:rsidRPr="00255472" w:rsidRDefault="00980857" w:rsidP="00DF7310">
            <w:pPr>
              <w:spacing w:after="0"/>
              <w:ind w:firstLine="0"/>
              <w:rPr>
                <w:rFonts w:ascii="Arial" w:hAnsi="Arial" w:cs="Arial"/>
                <w:sz w:val="18"/>
                <w:szCs w:val="18"/>
                <w:lang w:val="fr-CA"/>
              </w:rPr>
            </w:pPr>
          </w:p>
          <w:p w:rsidR="00980857" w:rsidRPr="00255472" w:rsidRDefault="00980857" w:rsidP="00DF7310">
            <w:pPr>
              <w:spacing w:after="0"/>
              <w:ind w:firstLine="0"/>
              <w:rPr>
                <w:rFonts w:ascii="Arial" w:hAnsi="Arial" w:cs="Arial"/>
                <w:sz w:val="18"/>
                <w:szCs w:val="18"/>
                <w:lang w:val="fr-CA"/>
              </w:rPr>
            </w:pPr>
          </w:p>
        </w:tc>
        <w:tc>
          <w:tcPr>
            <w:tcW w:w="626" w:type="pct"/>
            <w:tcBorders>
              <w:right w:val="nil"/>
            </w:tcBorders>
          </w:tcPr>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Non-CVD Medications: NA</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Dietary Intervention(s): Patients were instructed to eat a balanced diet to maintain a consistent amount of vitamin K and to avoid drastic changes in dietary habits</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Exercise Intervention(s): No</w:t>
            </w:r>
            <w:r w:rsidRPr="00255472">
              <w:rPr>
                <w:rFonts w:ascii="Arial" w:hAnsi="Arial" w:cs="Arial"/>
                <w:sz w:val="18"/>
                <w:szCs w:val="18"/>
              </w:rPr>
              <w:br/>
            </w:r>
          </w:p>
          <w:p w:rsidR="00980857" w:rsidRPr="00255472" w:rsidRDefault="00980857" w:rsidP="00DF7310">
            <w:pPr>
              <w:spacing w:after="0"/>
              <w:ind w:firstLine="0"/>
              <w:rPr>
                <w:rFonts w:ascii="Arial" w:hAnsi="Arial" w:cs="Arial"/>
                <w:sz w:val="18"/>
                <w:szCs w:val="18"/>
              </w:rPr>
            </w:pPr>
            <w:r w:rsidRPr="00255472">
              <w:rPr>
                <w:rFonts w:ascii="Arial" w:hAnsi="Arial" w:cs="Arial"/>
                <w:sz w:val="18"/>
                <w:szCs w:val="18"/>
              </w:rPr>
              <w:t>Other Lifestyle Intervention(s): No</w:t>
            </w:r>
          </w:p>
        </w:tc>
      </w:tr>
    </w:tbl>
    <w:p w:rsidR="00F30FDC" w:rsidRDefault="00F30FDC" w:rsidP="00FD6FB3"/>
    <w:sectPr w:rsidR="00F30FDC" w:rsidSect="00F30FDC">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2775"/>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0FDC"/>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73</Pages>
  <Words>14998</Words>
  <Characters>95352</Characters>
  <Application>Microsoft Office Word</Application>
  <DocSecurity>0</DocSecurity>
  <Lines>794</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110130</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12</cp:revision>
  <cp:lastPrinted>2012-05-23T15:20:00Z</cp:lastPrinted>
  <dcterms:created xsi:type="dcterms:W3CDTF">2012-04-24T04:30:00Z</dcterms:created>
  <dcterms:modified xsi:type="dcterms:W3CDTF">2012-05-24T12:34:00Z</dcterms:modified>
</cp:coreProperties>
</file>