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97.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 a</w:t>
      </w:r>
      <w:r w:rsidRPr="00B25B13">
        <w:rPr>
          <w:rFonts w:ascii="Arial" w:hAnsi="Arial" w:cs="Arial"/>
          <w:b/>
          <w:sz w:val="18"/>
          <w:szCs w:val="18"/>
        </w:rPr>
        <w:t xml:space="preserve">utoimmune </w:t>
      </w:r>
      <w:r>
        <w:rPr>
          <w:rFonts w:ascii="Arial" w:hAnsi="Arial" w:cs="Arial"/>
          <w:b/>
          <w:sz w:val="18"/>
          <w:szCs w:val="18"/>
        </w:rPr>
        <w:t>d</w:t>
      </w:r>
      <w:r w:rsidRPr="00B25B13">
        <w:rPr>
          <w:rFonts w:ascii="Arial" w:hAnsi="Arial" w:cs="Arial"/>
          <w:b/>
          <w:sz w:val="18"/>
          <w:szCs w:val="18"/>
        </w:rPr>
        <w:t>isease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38"/>
        <w:gridCol w:w="1058"/>
        <w:gridCol w:w="1161"/>
        <w:gridCol w:w="827"/>
        <w:gridCol w:w="927"/>
        <w:gridCol w:w="878"/>
        <w:gridCol w:w="690"/>
        <w:gridCol w:w="691"/>
        <w:gridCol w:w="1070"/>
        <w:gridCol w:w="1476"/>
        <w:gridCol w:w="1626"/>
        <w:gridCol w:w="734"/>
      </w:tblGrid>
      <w:tr w:rsidR="00BB5431" w:rsidRPr="002856B9" w:rsidTr="00BB5431">
        <w:trPr>
          <w:cantSplit/>
          <w:tblHeader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Study (Investigator, country, year)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Record Number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(mean)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(median)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(Range)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(SD)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Race (%)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Gender M, F (%)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Disease Stage/category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Disease Histology/Site (%)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Brunner et al, Austria, 2002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11910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SLE case report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Chen et al, China, 2005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7790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SLE (2)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13, 18 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severe, refractory to corticosteroids, 6-mercaptopurine, cyclophosphamide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Connor et al, UK, 2008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Evans syndrome case report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Couri et al, Brazil, 2009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13-21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white (75)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67, 33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Daikeler et al, Switzerland, 2009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Evans syndrome (5)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2-21 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 5 (100)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 cases reported to EBMT registry 1984-2007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Daikeler et al, Switzerland, 2009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740A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Autoimmune hemolytic anemia (7)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2-14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M (71)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 cases reported to EBMT registry 1984-2007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de Kleer et al, Netherlands, 2004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8350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Juvenile idiopathic arthritis (34)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8.9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4-18 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3.6 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 M, 15 F (56/44)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refractory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29 systemic5 polyarticular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 Stefano et al, Italy, 1999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16180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Autoimmune hemolytic anemia case report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Elhasid et al, Israel, 2004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9050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Diffuse calcinosis (1)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Severe, progressive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Fagius et al, Sweden, 2009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MS (2)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9, 16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M, 1 F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EDSS 4.0, 8.0; annualized relapse rate 15, 18, respectively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Farge et al, France, 2004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SSc (5)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 yrs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9-17 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 4, M 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scleroderma lung disease, 4 diffuse, 1 limited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Huhn et al, USA, 2003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11550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Autoimmune thrombocytopenia case report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Jones et al, USA, 2004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9110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Severe, refractory with small vessel vasculitis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Kimiskidis et al, Greece, 2008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MS (1)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MS, EDSS score 5.0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Kishimoto et al, Japan, 2003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Juvenile idiopathic arthritis (2)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3, 13, 21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M, 2 F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Systemic disease, refractory to conventional therapies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Lisukov et al, Russia, 2004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9190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SLE (4)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15-21 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2.8 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 (100)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refractory to pulse cyclophosphamide, corticosteroids, azathioprine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Mancardi et al, Italy, 2005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7110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MS (2)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16, 18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M, 1 F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Paralyzing lesions within CNS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Musso et al, Italy, 2001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13570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SLE (2)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17, 20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 (100)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severe refractory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Nakagawa et al, Japan, 2001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13910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Juvenile idiopathic arthritis (1)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Refractory disease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Oyama et al, USA, 2005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CD (4)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15-21 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2.7 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 (n = 3)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severe refractory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Burt et al, USA, 2010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(3)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16, 18, 21 years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M, 1 F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refractory to all standard treatments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Paillard et al, 2000, France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14650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Autoimmune hemolytic anemia case report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Rabusin et al, Italy, 2000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13940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Juvenile idiopathic arthritis (5)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14.6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9-20 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3.9 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M (20)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Refractory, 3-12 yrs duration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Raetz et al, USA, 1997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18920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Evans syndrome case report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Statkute eta, USA, 2005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SLE (9)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15-21 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2yrs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 (100)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Refractory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Strober et al, USA, 2009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MG (1)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Severe, refractory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Trysberg et al, Sweden, 2000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15570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SLE (1)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Severe, refractory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Urban et al, Austria, 2006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5970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Evans syndrome case report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Wulffrat et al, Netherlands, 2001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13970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SLE (2)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 yrs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M, 1 F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Severe, refractory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33" w:rsidRDefault="00790533">
      <w:r>
        <w:separator/>
      </w:r>
    </w:p>
  </w:endnote>
  <w:endnote w:type="continuationSeparator" w:id="0">
    <w:p w:rsidR="00790533" w:rsidRDefault="0079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33" w:rsidRDefault="00790533">
      <w:r>
        <w:separator/>
      </w:r>
    </w:p>
  </w:footnote>
  <w:footnote w:type="continuationSeparator" w:id="0">
    <w:p w:rsidR="00790533" w:rsidRDefault="0079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49B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6C54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36E3F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0533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0C8B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7D2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2D2D-1276-456E-A8B3-06564F97A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E08FD6-9753-434E-ABFF-533F6841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3370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2012-02-29T12:35:00Z</dcterms:modified>
</cp:coreProperties>
</file>