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1B495B" w:rsidRPr="00B25B13" w:rsidRDefault="001B495B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95.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i</w:t>
      </w:r>
      <w:r w:rsidRPr="00B25B13">
        <w:rPr>
          <w:rFonts w:ascii="Arial" w:hAnsi="Arial" w:cs="Arial"/>
          <w:b/>
          <w:sz w:val="18"/>
          <w:szCs w:val="18"/>
        </w:rPr>
        <w:t xml:space="preserve">nherited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 xml:space="preserve">etabolic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34"/>
        <w:gridCol w:w="599"/>
        <w:gridCol w:w="1311"/>
        <w:gridCol w:w="594"/>
        <w:gridCol w:w="496"/>
        <w:gridCol w:w="908"/>
        <w:gridCol w:w="918"/>
        <w:gridCol w:w="991"/>
        <w:gridCol w:w="495"/>
        <w:gridCol w:w="917"/>
        <w:gridCol w:w="991"/>
        <w:gridCol w:w="495"/>
        <w:gridCol w:w="1125"/>
        <w:gridCol w:w="648"/>
      </w:tblGrid>
      <w:tr w:rsidR="00BB5431" w:rsidRPr="002008D3" w:rsidTr="00BB5431">
        <w:trPr>
          <w:cantSplit/>
          <w:tblHeader/>
        </w:trPr>
        <w:tc>
          <w:tcPr>
            <w:tcW w:w="702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316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227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497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Severity or Grade Infectious</w:t>
            </w:r>
          </w:p>
        </w:tc>
        <w:tc>
          <w:tcPr>
            <w:tcW w:w="225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F/U (mos)</w:t>
            </w:r>
          </w:p>
        </w:tc>
        <w:tc>
          <w:tcPr>
            <w:tcW w:w="188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</w:t>
            </w:r>
          </w:p>
        </w:tc>
        <w:tc>
          <w:tcPr>
            <w:tcW w:w="344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  <w:tc>
          <w:tcPr>
            <w:tcW w:w="348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 AGVHD</w:t>
            </w:r>
          </w:p>
        </w:tc>
        <w:tc>
          <w:tcPr>
            <w:tcW w:w="376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Severity or Grade_2</w:t>
            </w:r>
          </w:p>
        </w:tc>
        <w:tc>
          <w:tcPr>
            <w:tcW w:w="188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%_2</w:t>
            </w:r>
          </w:p>
        </w:tc>
        <w:tc>
          <w:tcPr>
            <w:tcW w:w="348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 CGVHD</w:t>
            </w:r>
          </w:p>
        </w:tc>
        <w:tc>
          <w:tcPr>
            <w:tcW w:w="376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Severity or Grade_3</w:t>
            </w:r>
          </w:p>
        </w:tc>
        <w:tc>
          <w:tcPr>
            <w:tcW w:w="188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%_3</w:t>
            </w:r>
          </w:p>
        </w:tc>
        <w:tc>
          <w:tcPr>
            <w:tcW w:w="427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 Engraftment failure</w:t>
            </w:r>
          </w:p>
        </w:tc>
        <w:tc>
          <w:tcPr>
            <w:tcW w:w="246" w:type="pct"/>
            <w:shd w:val="clear" w:color="C0C0C0" w:fill="C0C0C0"/>
            <w:noWrap/>
            <w:vAlign w:val="center"/>
            <w:hideMark/>
          </w:tcPr>
          <w:p w:rsidR="00BB5431" w:rsidRPr="002008D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008D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%_4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Arvio M, Finland, 2001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14180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Banjar H, Saudi Arabia, 1998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17920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 LL, Malaysia, 2002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El-Beshlawy A, Egypt, 2006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Erikson A, Sweden, 1995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21630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 J, US, 2006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57160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 J, US, 2007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57070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Paciorkowski AR, US, 2008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viral infection (fever, transient leukopenia, thrombocytopenia)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 mos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(100%)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Page KM, US, 2008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1280B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other complications (not infectious):2 developed autoimmune hemolytic anemia2 thrombocytopenia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grade 11 grade 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(100%)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extensive cytopenia1 limited cytopenia (skin)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(100%)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56970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56500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Pineda M, Spain, 2009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56560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Schiffman R, Netherlands, 2008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0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Schiffmann R, Netherlands, 1997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58150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95.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i</w:t>
      </w:r>
      <w:r w:rsidRPr="00B25B13">
        <w:rPr>
          <w:rFonts w:ascii="Arial" w:hAnsi="Arial" w:cs="Arial"/>
          <w:b/>
          <w:sz w:val="18"/>
          <w:szCs w:val="18"/>
        </w:rPr>
        <w:t xml:space="preserve">nherited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 xml:space="preserve">etabolic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iseases Continued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934"/>
        <w:gridCol w:w="902"/>
        <w:gridCol w:w="1244"/>
        <w:gridCol w:w="904"/>
        <w:gridCol w:w="685"/>
        <w:gridCol w:w="1489"/>
        <w:gridCol w:w="1167"/>
        <w:gridCol w:w="472"/>
        <w:gridCol w:w="867"/>
        <w:gridCol w:w="775"/>
        <w:gridCol w:w="1262"/>
        <w:gridCol w:w="556"/>
      </w:tblGrid>
      <w:tr w:rsidR="00BB5431" w:rsidRPr="00B25B13" w:rsidTr="00BB5431">
        <w:trPr>
          <w:cantSplit/>
          <w:tblHeader/>
        </w:trPr>
        <w:tc>
          <w:tcPr>
            <w:tcW w:w="728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4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 TRM</w:t>
            </w:r>
          </w:p>
        </w:tc>
        <w:tc>
          <w:tcPr>
            <w:tcW w:w="47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TRM</w:t>
            </w:r>
          </w:p>
        </w:tc>
        <w:tc>
          <w:tcPr>
            <w:tcW w:w="34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(mos) TRM</w:t>
            </w:r>
          </w:p>
        </w:tc>
        <w:tc>
          <w:tcPr>
            <w:tcW w:w="260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TRM</w:t>
            </w:r>
          </w:p>
        </w:tc>
        <w:tc>
          <w:tcPr>
            <w:tcW w:w="565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(N)Developmental Delay</w:t>
            </w:r>
          </w:p>
        </w:tc>
        <w:tc>
          <w:tcPr>
            <w:tcW w:w="44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DD</w:t>
            </w:r>
          </w:p>
        </w:tc>
        <w:tc>
          <w:tcPr>
            <w:tcW w:w="17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DD</w:t>
            </w:r>
          </w:p>
        </w:tc>
        <w:tc>
          <w:tcPr>
            <w:tcW w:w="32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 DD</w:t>
            </w:r>
          </w:p>
        </w:tc>
        <w:tc>
          <w:tcPr>
            <w:tcW w:w="294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(N)_9</w:t>
            </w:r>
          </w:p>
        </w:tc>
        <w:tc>
          <w:tcPr>
            <w:tcW w:w="47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SSGR</w:t>
            </w:r>
          </w:p>
        </w:tc>
        <w:tc>
          <w:tcPr>
            <w:tcW w:w="21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SSGR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Arvio M, Finland, 2001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14180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Banjar H, Saudi Arabia, 1998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17920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 LL, Malaysia, 2002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El-Beshlawy A, Egypt, 2006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Erikson A, Sweden, 1995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21630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 J, US, 2006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57160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 J, US, 2007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57070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Paciorkowski AR, US, 2008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Page KM, US, 2008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1280B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multi-system organ failure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1.8 yrs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(50%)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2007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56970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lethargy, memory impairment, depression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(8%)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withdrew from study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 weight loss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(25%)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2010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(100%)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Pineda M, Spain, 2009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56560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Schiffman R, Netherlands, 2008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Schiffmann R, Netherlands, 1997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58150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(20%)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One pt experienced precocious puberty due to human chorionic gonadotropin used in ERT preparation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DC" w:rsidRDefault="002F22DC">
      <w:r>
        <w:separator/>
      </w:r>
    </w:p>
  </w:endnote>
  <w:endnote w:type="continuationSeparator" w:id="0">
    <w:p w:rsidR="002F22DC" w:rsidRDefault="002F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DC" w:rsidRDefault="002F22DC">
      <w:r>
        <w:separator/>
      </w:r>
    </w:p>
  </w:footnote>
  <w:footnote w:type="continuationSeparator" w:id="0">
    <w:p w:rsidR="002F22DC" w:rsidRDefault="002F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03F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95B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22DC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1D4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2882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3355-52AA-415F-856A-EAEB598A9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FD066-CCC3-4B19-BB68-8D1ACB64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2719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2012-03-01T09:20:00Z</dcterms:modified>
</cp:coreProperties>
</file>