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67.</w:t>
      </w:r>
      <w:r w:rsidRPr="00B25B13">
        <w:rPr>
          <w:rFonts w:ascii="Arial" w:hAnsi="Arial" w:cs="Arial"/>
          <w:b/>
          <w:sz w:val="18"/>
          <w:szCs w:val="18"/>
        </w:rPr>
        <w:t xml:space="preserve"> Outcome </w:t>
      </w:r>
      <w:r>
        <w:rPr>
          <w:rFonts w:ascii="Arial" w:hAnsi="Arial" w:cs="Arial"/>
          <w:b/>
          <w:sz w:val="18"/>
          <w:szCs w:val="18"/>
        </w:rPr>
        <w:t>a</w:t>
      </w:r>
      <w:r w:rsidRPr="00B25B13">
        <w:rPr>
          <w:rFonts w:ascii="Arial" w:hAnsi="Arial" w:cs="Arial"/>
          <w:b/>
          <w:sz w:val="18"/>
          <w:szCs w:val="18"/>
        </w:rPr>
        <w:t>ssessment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mbryonal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ook w:val="04A0"/>
      </w:tblPr>
      <w:tblGrid>
        <w:gridCol w:w="2125"/>
        <w:gridCol w:w="2051"/>
        <w:gridCol w:w="2027"/>
        <w:gridCol w:w="2084"/>
        <w:gridCol w:w="2090"/>
        <w:gridCol w:w="2799"/>
      </w:tblGrid>
      <w:tr w:rsidR="00BB5431" w:rsidRPr="00B25B13" w:rsidTr="00BB5431">
        <w:trPr>
          <w:trHeight w:val="96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Primary Outcomes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Secondary Outcomes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Frequency/Duration</w:t>
            </w:r>
          </w:p>
        </w:tc>
      </w:tr>
      <w:tr w:rsidR="00BB5431" w:rsidRPr="00B25B13" w:rsidTr="00BB5431">
        <w:trPr>
          <w:trHeight w:val="48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Geyer, USA, 2005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73920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TRM; SM; Other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6.6 years</w:t>
            </w:r>
          </w:p>
        </w:tc>
      </w:tr>
      <w:tr w:rsidR="00BB5431" w:rsidRPr="00B25B13" w:rsidTr="00BB5431">
        <w:trPr>
          <w:trHeight w:val="48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Packer, USA, 2006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77250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TRM; SM; Other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years</w:t>
            </w:r>
          </w:p>
        </w:tc>
      </w:tr>
      <w:tr w:rsidR="00BB5431" w:rsidRPr="00B25B13" w:rsidTr="00BB5431">
        <w:trPr>
          <w:trHeight w:val="48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Taylor, UK, 2005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52760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OS; EFS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TRM; Other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7.2 years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E65F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540F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4E65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19D5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A7812-61AF-4C6A-99E1-F303B451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367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2012-02-28T11:09:00Z</dcterms:modified>
</cp:coreProperties>
</file>