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C46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  <w:proofErr w:type="spellEnd"/>
    </w:p>
    <w:tbl>
      <w:tblPr>
        <w:tblW w:w="5000" w:type="pct"/>
        <w:tblLook w:val="04A0"/>
      </w:tblPr>
      <w:tblGrid>
        <w:gridCol w:w="3425"/>
        <w:gridCol w:w="2437"/>
        <w:gridCol w:w="2438"/>
        <w:gridCol w:w="2438"/>
        <w:gridCol w:w="2438"/>
      </w:tblGrid>
      <w:tr w:rsidR="00BB5431" w:rsidRPr="00B25B13" w:rsidTr="00BB5431">
        <w:trPr>
          <w:trHeight w:val="255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</w:tr>
      <w:tr w:rsidR="00BB5431" w:rsidRPr="00B25B13" w:rsidTr="00BB5431">
        <w:trPr>
          <w:trHeight w:val="7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Bernstein, USA/Canada 2006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</w:tr>
      <w:tr w:rsidR="00BB5431" w:rsidRPr="00B25B13" w:rsidTr="00BB5431">
        <w:trPr>
          <w:trHeight w:val="48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Kushner, USA, 1995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21430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Milano, Italy, 2006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43290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Sari, Turkey, 2010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42790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06F0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8F8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52E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2D67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AF673-9609-4A4F-B801-2529C92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357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2012-02-28T11:03:00Z</dcterms:modified>
</cp:coreProperties>
</file>