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C29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r</w:t>
      </w:r>
      <w:r w:rsidRPr="00B25B13">
        <w:rPr>
          <w:rFonts w:ascii="Arial" w:hAnsi="Arial" w:cs="Arial"/>
          <w:b/>
          <w:sz w:val="18"/>
          <w:szCs w:val="18"/>
        </w:rPr>
        <w:t xml:space="preserve">habdomyosarcoma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809"/>
        <w:gridCol w:w="1080"/>
        <w:gridCol w:w="962"/>
        <w:gridCol w:w="1015"/>
        <w:gridCol w:w="1428"/>
        <w:gridCol w:w="1009"/>
        <w:gridCol w:w="590"/>
        <w:gridCol w:w="1120"/>
        <w:gridCol w:w="1452"/>
        <w:gridCol w:w="993"/>
      </w:tblGrid>
      <w:tr w:rsidR="00BB5431" w:rsidRPr="00197B70" w:rsidTr="00BB5431">
        <w:trPr>
          <w:cantSplit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 Infection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 TRM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Severity or Grade TRM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F/U (mos) TRM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 TRM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 TRM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 Secondary Malignancy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Comments SM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Bisogno, Italy, 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Carli, Italy, 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(52)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1.9% TRM (1/52)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Sepsis related death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Hara, Japan, 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14% (1/7)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sepsis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month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14% (1/7)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on additional non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RMS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patient experienced TRM so in all 2/28 (7.1%)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Koscielniak, Germany, 1997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one patient dies due to sepsis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McDowell, UK, 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It is unclear from the authors’ description if any of these are within the first 100 days.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Navid, USA, 2006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25% (2/8)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two patients experienced TRM (radiation pneumonitis and  disseminated alveolar infection)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Oue, Japan, 2003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10950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Patients from a mixed tumor study. Neither of these patients had RMS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Scully, USA, 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14580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one patient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developed precursor T-lymphoblastic lymphoma and early myeloid dysplastic syndrome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Shaw, Israel,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Patients from a mixed tumor study. Neither patient had RMS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Walterhouse, USA, 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Sepsis in 4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fungal infection in 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EC" w:rsidRDefault="00F258EC">
      <w:r>
        <w:separator/>
      </w:r>
    </w:p>
  </w:endnote>
  <w:endnote w:type="continuationSeparator" w:id="0">
    <w:p w:rsidR="00F258EC" w:rsidRDefault="00F2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EC" w:rsidRDefault="00F258EC">
      <w:r>
        <w:separator/>
      </w:r>
    </w:p>
  </w:footnote>
  <w:footnote w:type="continuationSeparator" w:id="0">
    <w:p w:rsidR="00F258EC" w:rsidRDefault="00F2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3F6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75A0B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578D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A25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B94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58E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E8EC-AA6B-4798-BD2A-DEAEEFA6C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A28E3-DED8-4B2F-96FC-AC2D8FC6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1338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2012-02-29T12:25:00Z</dcterms:modified>
</cp:coreProperties>
</file>