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 xml:space="preserve">Appendix Table </w:t>
      </w:r>
      <w:r>
        <w:rPr>
          <w:rFonts w:ascii="Arial" w:hAnsi="Arial" w:cs="Arial"/>
          <w:b/>
          <w:sz w:val="18"/>
          <w:szCs w:val="18"/>
        </w:rPr>
        <w:t>C101.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 xml:space="preserve">utoimmune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5"/>
        <w:gridCol w:w="1568"/>
        <w:gridCol w:w="1853"/>
        <w:gridCol w:w="2480"/>
        <w:gridCol w:w="3850"/>
      </w:tblGrid>
      <w:tr w:rsidR="00BB5431" w:rsidRPr="00B25B13" w:rsidTr="00BB5431">
        <w:trPr>
          <w:trHeight w:val="255"/>
        </w:trPr>
        <w:tc>
          <w:tcPr>
            <w:tcW w:w="1300" w:type="pct"/>
            <w:shd w:val="clear" w:color="C0C0C0" w:fill="C0C0C0"/>
            <w:noWrap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70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94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146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trHeight w:val="2699"/>
        </w:trPr>
        <w:tc>
          <w:tcPr>
            <w:tcW w:w="130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Crino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al, Italy, 2005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62110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nicotinamide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plus intensive insulin therapy (25) intensive insulin therapy only (27)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glycosylated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hemoglobin (%) 0, 12, 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fasting C-peptide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nmol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/L) 0, 12, 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46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nicotinamide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plus intensive insulin therapy 9.6+/-2.2, 5.4+/-0.8, 6.1+/-0.9, 1.9+/-0.15, 0.25+/-0.2, 0.19+/-0.2 intensive insulin therapy 10.5+/-2.2, 6.5+/-0.9, 7.0+/-0.9, 0.16+/-0.12, 0.21+/-0.2, 0.19+/-0.13</w:t>
            </w:r>
          </w:p>
        </w:tc>
      </w:tr>
      <w:tr w:rsidR="00BB5431" w:rsidRPr="00B25B13" w:rsidTr="00BB5431">
        <w:trPr>
          <w:trHeight w:val="1680"/>
        </w:trPr>
        <w:tc>
          <w:tcPr>
            <w:tcW w:w="130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Mastrandrea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al, USA, 2009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40050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etanercept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plus intensive insulin therapy (10)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glycosylated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hemoglobin (%) 0, 24 wks meal stimulated C peptide AUC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ng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/hr) 0, 24 wks</w:t>
            </w:r>
          </w:p>
        </w:tc>
        <w:tc>
          <w:tcPr>
            <w:tcW w:w="146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12.8+/-3.2, 5.9+/-0.5 3.1+/-1.2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ng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/hr, 3.9+/-1.6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ng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/hr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3114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575F4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1D39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463A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60FC1-262C-4DA3-815C-9126D4F7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816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2012-02-28T11:21:00Z</dcterms:modified>
</cp:coreProperties>
</file>