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  <w:rPr>
          <w:szCs w:val="14"/>
        </w:rPr>
      </w:pPr>
      <w:bookmarkStart w:id="0" w:name="_Toc279938770"/>
      <w:bookmarkStart w:id="1" w:name="_Toc279939143"/>
      <w:proofErr w:type="gramStart"/>
      <w:r w:rsidRPr="00374B78">
        <w:t xml:space="preserve">Table </w:t>
      </w:r>
      <w:r>
        <w:t>I-1.</w:t>
      </w:r>
      <w:proofErr w:type="gramEnd"/>
      <w:r>
        <w:t xml:space="preserve"> </w:t>
      </w:r>
      <w:r w:rsidRPr="00374B78">
        <w:rPr>
          <w:szCs w:val="20"/>
        </w:rPr>
        <w:t xml:space="preserve">Evaluation of applicability for individual studies </w:t>
      </w:r>
      <w:r>
        <w:t>for innovator versus generic antiepileptic drug evaluation</w:t>
      </w:r>
      <w:bookmarkEnd w:id="0"/>
      <w:bookmarkEnd w:id="1"/>
    </w:p>
    <w:tbl>
      <w:tblPr>
        <w:tblW w:w="13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2902"/>
        <w:gridCol w:w="2852"/>
        <w:gridCol w:w="2346"/>
        <w:gridCol w:w="3818"/>
      </w:tblGrid>
      <w:tr w:rsidR="00732CC3" w:rsidRPr="00093CFC" w:rsidTr="00DB378D">
        <w:trPr>
          <w:cantSplit/>
          <w:tblHeader/>
        </w:trPr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Study, Year</w:t>
            </w:r>
          </w:p>
        </w:tc>
        <w:tc>
          <w:tcPr>
            <w:tcW w:w="29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Effectiveness Study Designation </w:t>
            </w:r>
            <w:r w:rsidR="00D13225">
              <w:br/>
            </w:r>
            <w:r w:rsidRPr="00B66EF6">
              <w:t>and Composite Score</w:t>
            </w:r>
          </w:p>
        </w:tc>
        <w:tc>
          <w:tcPr>
            <w:tcW w:w="2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Effectiveness Study</w:t>
            </w:r>
            <w:r w:rsidRPr="00B66EF6">
              <w:br/>
              <w:t>Criteria Met</w:t>
            </w:r>
          </w:p>
        </w:tc>
        <w:tc>
          <w:tcPr>
            <w:tcW w:w="23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Applicability Limitation Category</w:t>
            </w:r>
          </w:p>
        </w:tc>
        <w:tc>
          <w:tcPr>
            <w:tcW w:w="38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Specific Factors Limiting Applicability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Zachry</w:t>
            </w:r>
            <w:proofErr w:type="spellEnd"/>
            <w:r w:rsidRPr="00B66EF6">
              <w:t>,  2009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N=1664</w:t>
            </w:r>
          </w:p>
        </w:tc>
        <w:tc>
          <w:tcPr>
            <w:tcW w:w="2902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 xml:space="preserve">Study Designation: </w:t>
            </w:r>
          </w:p>
          <w:p w:rsidR="00CA7633" w:rsidRDefault="00732CC3">
            <w:pPr>
              <w:pStyle w:val="TableText"/>
            </w:pPr>
            <w:r w:rsidRPr="00B66EF6">
              <w:t>Efficacy study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Composite Score:</w:t>
            </w:r>
          </w:p>
          <w:p w:rsidR="00CA7633" w:rsidRDefault="00732CC3">
            <w:pPr>
              <w:pStyle w:val="TableText"/>
            </w:pPr>
            <w:r w:rsidRPr="00B66EF6">
              <w:t>4 of 7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Less stringent eligibility criteria</w:t>
            </w:r>
          </w:p>
          <w:p w:rsidR="00CA7633" w:rsidRDefault="00732CC3">
            <w:pPr>
              <w:pStyle w:val="TableText"/>
            </w:pPr>
            <w:r w:rsidRPr="00B66EF6">
              <w:t>Assessed final health outcomes</w:t>
            </w:r>
          </w:p>
          <w:p w:rsidR="00CA7633" w:rsidRDefault="00732CC3">
            <w:pPr>
              <w:pStyle w:val="TableText"/>
            </w:pPr>
            <w:r w:rsidRPr="00B66EF6">
              <w:t>Adequate study duration with clinically relevant treatments</w:t>
            </w:r>
          </w:p>
          <w:p w:rsidR="00CA7633" w:rsidRDefault="00732CC3">
            <w:pPr>
              <w:pStyle w:val="TableText"/>
            </w:pPr>
            <w:r w:rsidRPr="00B66EF6">
              <w:t>Adequate sample size</w:t>
            </w:r>
          </w:p>
        </w:tc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Population, Outcomes</w:t>
            </w:r>
          </w:p>
        </w:tc>
        <w:tc>
          <w:tcPr>
            <w:tcW w:w="3818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 xml:space="preserve">In this study, patients were switched from one version of the medication to another </w:t>
            </w:r>
            <w:r w:rsidRPr="00B66EF6">
              <w:rPr>
                <w:rFonts w:hint="eastAsia"/>
              </w:rPr>
              <w:t>“</w:t>
            </w:r>
            <w:r w:rsidRPr="00B66EF6">
              <w:t>A</w:t>
            </w:r>
            <w:r w:rsidRPr="00B66EF6">
              <w:rPr>
                <w:rFonts w:hint="eastAsia"/>
              </w:rPr>
              <w:t>”</w:t>
            </w:r>
            <w:r w:rsidRPr="00B66EF6">
              <w:t xml:space="preserve"> rated version.  This could be from innovator to generic, generic to generic, or generic to innovator.  As such it is not a true comparison of innovator to generic switching.</w:t>
            </w:r>
          </w:p>
          <w:p w:rsidR="00CA7633" w:rsidRDefault="00732CC3">
            <w:pPr>
              <w:pStyle w:val="TableText"/>
            </w:pPr>
            <w:r w:rsidRPr="00B66EF6">
              <w:t>ADRs not reported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71BAE">
              <w:t>Rascati</w:t>
            </w:r>
            <w:proofErr w:type="spellEnd"/>
            <w:r w:rsidRPr="00B71BAE">
              <w:t>, 2009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N=3964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Study Designation:</w:t>
            </w:r>
          </w:p>
          <w:p w:rsidR="00CA7633" w:rsidRDefault="00732CC3">
            <w:pPr>
              <w:pStyle w:val="TableText"/>
            </w:pPr>
            <w:r w:rsidRPr="00B66EF6">
              <w:t>Efficacy study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Composite Score:</w:t>
            </w:r>
          </w:p>
          <w:p w:rsidR="00CA7633" w:rsidRDefault="00732CC3">
            <w:pPr>
              <w:pStyle w:val="TableText"/>
            </w:pPr>
            <w:r w:rsidRPr="00B66EF6"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Less stringent eligibility criteria</w:t>
            </w:r>
          </w:p>
          <w:p w:rsidR="00CA7633" w:rsidRDefault="00732CC3">
            <w:pPr>
              <w:pStyle w:val="TableText"/>
            </w:pPr>
            <w:r w:rsidRPr="00B66EF6">
              <w:t>Assessed final health outcomes</w:t>
            </w:r>
          </w:p>
          <w:p w:rsidR="00CA7633" w:rsidRDefault="00732CC3">
            <w:pPr>
              <w:pStyle w:val="TableText"/>
            </w:pPr>
            <w:r w:rsidRPr="00B66EF6">
              <w:t>Adequate study duration with clinically relevant treatments</w:t>
            </w:r>
          </w:p>
          <w:p w:rsidR="00CA7633" w:rsidRDefault="00732CC3">
            <w:pPr>
              <w:pStyle w:val="TableText"/>
            </w:pPr>
            <w:r w:rsidRPr="00B66EF6"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"/>
            </w:pPr>
            <w:r w:rsidRPr="00B66EF6">
              <w:rPr>
                <w:noProof/>
              </w:rPr>
              <w:t>Population, Outcomes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"/>
            </w:pPr>
            <w:r w:rsidRPr="00B66EF6">
              <w:t xml:space="preserve">In this study, patients were switched from one version of the medication to another </w:t>
            </w:r>
            <w:r w:rsidRPr="00B66EF6">
              <w:rPr>
                <w:rFonts w:hint="eastAsia"/>
              </w:rPr>
              <w:t>“</w:t>
            </w:r>
            <w:r w:rsidRPr="00B66EF6">
              <w:t>A</w:t>
            </w:r>
            <w:r w:rsidRPr="00B66EF6">
              <w:rPr>
                <w:rFonts w:hint="eastAsia"/>
              </w:rPr>
              <w:t>”</w:t>
            </w:r>
            <w:r w:rsidRPr="00B66EF6">
              <w:t xml:space="preserve"> rated version.  This could be from innovator to generic, generic to generic, or generic to innovator.  As such it is not a true comparison of innovator to generic switching.</w:t>
            </w:r>
          </w:p>
          <w:p w:rsidR="00CA7633" w:rsidRDefault="00732CC3">
            <w:pPr>
              <w:pStyle w:val="TableText"/>
            </w:pPr>
            <w:r w:rsidRPr="00B66EF6">
              <w:t>ADRs not reported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Devine, 2010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N=11796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Study Designation:</w:t>
            </w:r>
          </w:p>
          <w:p w:rsidR="00CA7633" w:rsidRDefault="00732CC3">
            <w:pPr>
              <w:pStyle w:val="TableText"/>
            </w:pPr>
            <w:r w:rsidRPr="00B66EF6">
              <w:t>Efficacy study</w:t>
            </w:r>
          </w:p>
          <w:p w:rsidR="00CA7633" w:rsidRDefault="00CA7633">
            <w:pPr>
              <w:pStyle w:val="TableText"/>
            </w:pPr>
          </w:p>
          <w:p w:rsidR="00CA7633" w:rsidRDefault="00732CC3">
            <w:pPr>
              <w:pStyle w:val="TableText"/>
            </w:pPr>
            <w:r w:rsidRPr="00B66EF6">
              <w:t>Composite Score:</w:t>
            </w:r>
          </w:p>
          <w:p w:rsidR="00CA7633" w:rsidRDefault="00732CC3">
            <w:pPr>
              <w:pStyle w:val="TableText"/>
              <w:rPr>
                <w:b/>
              </w:rPr>
            </w:pPr>
            <w:r w:rsidRPr="00B66EF6"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Less stringent eligibility criteria</w:t>
            </w:r>
          </w:p>
          <w:p w:rsidR="00CA7633" w:rsidRDefault="00732CC3">
            <w:pPr>
              <w:pStyle w:val="TableText"/>
            </w:pPr>
            <w:r w:rsidRPr="00B66EF6">
              <w:t>Assessed final health outcomes</w:t>
            </w:r>
          </w:p>
          <w:p w:rsidR="00CA7633" w:rsidRDefault="00732CC3">
            <w:pPr>
              <w:pStyle w:val="TableText"/>
            </w:pPr>
            <w:r w:rsidRPr="00B66EF6">
              <w:t>Adequate study duration with clinically relevant treatments</w:t>
            </w:r>
          </w:p>
          <w:p w:rsidR="00CA7633" w:rsidRDefault="00732CC3">
            <w:pPr>
              <w:pStyle w:val="TableText"/>
            </w:pPr>
            <w:r w:rsidRPr="00B66EF6"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Population, Outcomes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"/>
            </w:pPr>
            <w:r w:rsidRPr="00B66EF6">
              <w:t xml:space="preserve">In this study, patients were switched from one version of the medication to another </w:t>
            </w:r>
            <w:r w:rsidRPr="00B66EF6">
              <w:rPr>
                <w:rFonts w:hint="eastAsia"/>
              </w:rPr>
              <w:t>“</w:t>
            </w:r>
            <w:r w:rsidRPr="00B66EF6">
              <w:t>A</w:t>
            </w:r>
            <w:r w:rsidRPr="00B66EF6">
              <w:rPr>
                <w:rFonts w:hint="eastAsia"/>
              </w:rPr>
              <w:t>”</w:t>
            </w:r>
            <w:r w:rsidRPr="00B66EF6">
              <w:t xml:space="preserve"> rated version.  This could be from innovator to generic, generic to generic, or generic to innovator.  As such it is not a true comparison of innovator to generic switching.</w:t>
            </w:r>
          </w:p>
          <w:p w:rsidR="00CA7633" w:rsidRDefault="00732CC3">
            <w:pPr>
              <w:pStyle w:val="TableText"/>
            </w:pPr>
            <w:r w:rsidRPr="00B66EF6">
              <w:t>ADRs not reported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Labiner</w:t>
            </w:r>
            <w:proofErr w:type="spellEnd"/>
            <w:r w:rsidRPr="00B66EF6">
              <w:rPr>
                <w:sz w:val="18"/>
                <w:szCs w:val="18"/>
              </w:rPr>
              <w:t>, 2010a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N=18125 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 with clinically relevant treatments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ADRs not reported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Labiner</w:t>
            </w:r>
            <w:proofErr w:type="spellEnd"/>
            <w:r w:rsidRPr="00B66EF6">
              <w:rPr>
                <w:sz w:val="18"/>
                <w:szCs w:val="18"/>
              </w:rPr>
              <w:t xml:space="preserve"> 2010b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N=15500 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b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 with clinically relevant treatments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ADRs not reported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Kauko</w:t>
            </w:r>
            <w:proofErr w:type="spellEnd"/>
            <w:r w:rsidRPr="00B66EF6">
              <w:rPr>
                <w:sz w:val="18"/>
                <w:szCs w:val="18"/>
              </w:rPr>
              <w:t>,  1974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 Comparator,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Only in mentally retarded patients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(30 days)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20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ADRs not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Institutionalized facility for mentally retarded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conducted before 1990</w:t>
            </w:r>
          </w:p>
        </w:tc>
      </w:tr>
    </w:tbl>
    <w:p w:rsidR="00DB378D" w:rsidRDefault="00DB378D"/>
    <w:p w:rsidR="00E55438" w:rsidRDefault="00E55438"/>
    <w:tbl>
      <w:tblPr>
        <w:tblW w:w="13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2902"/>
        <w:gridCol w:w="2852"/>
        <w:gridCol w:w="2346"/>
        <w:gridCol w:w="3818"/>
      </w:tblGrid>
      <w:tr w:rsidR="00DB378D" w:rsidRPr="00093CFC" w:rsidTr="00DB378D">
        <w:trPr>
          <w:cantSplit/>
          <w:tblHeader/>
        </w:trPr>
        <w:tc>
          <w:tcPr>
            <w:tcW w:w="135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DB378D">
            <w:pPr>
              <w:pStyle w:val="TableTitle"/>
              <w:rPr>
                <w:szCs w:val="14"/>
              </w:rPr>
            </w:pPr>
            <w:r w:rsidRPr="00374B78">
              <w:t xml:space="preserve">Table </w:t>
            </w:r>
            <w:r>
              <w:t xml:space="preserve">I-1. </w:t>
            </w:r>
            <w:r w:rsidRPr="00374B78">
              <w:rPr>
                <w:szCs w:val="20"/>
              </w:rPr>
              <w:t xml:space="preserve">Evaluation of applicability for individual studies </w:t>
            </w:r>
            <w:r>
              <w:t>for innovator versus generic antiepileptic drug evaluation (continued)</w:t>
            </w:r>
          </w:p>
        </w:tc>
      </w:tr>
      <w:tr w:rsidR="00DB378D" w:rsidRPr="00093CFC" w:rsidTr="00DB378D">
        <w:trPr>
          <w:cantSplit/>
          <w:tblHeader/>
        </w:trPr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DB378D">
            <w:pPr>
              <w:pStyle w:val="TableColumnHead"/>
              <w:rPr>
                <w:noProof/>
              </w:rPr>
            </w:pPr>
            <w:r w:rsidRPr="00B66EF6">
              <w:t>Study, Year</w:t>
            </w:r>
          </w:p>
        </w:tc>
        <w:tc>
          <w:tcPr>
            <w:tcW w:w="29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DB378D">
            <w:pPr>
              <w:pStyle w:val="TableColumnHead"/>
              <w:rPr>
                <w:noProof/>
              </w:rPr>
            </w:pPr>
            <w:r w:rsidRPr="00B66EF6">
              <w:t xml:space="preserve">Effectiveness Study Designation </w:t>
            </w:r>
            <w:r>
              <w:br/>
            </w:r>
            <w:r w:rsidRPr="00B66EF6">
              <w:t>and Composite Score</w:t>
            </w:r>
          </w:p>
        </w:tc>
        <w:tc>
          <w:tcPr>
            <w:tcW w:w="2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DB378D">
            <w:pPr>
              <w:pStyle w:val="TableColumnHead"/>
              <w:rPr>
                <w:noProof/>
              </w:rPr>
            </w:pPr>
            <w:r w:rsidRPr="00B66EF6">
              <w:t>Effectiveness Study</w:t>
            </w:r>
            <w:r w:rsidRPr="00B66EF6">
              <w:br/>
              <w:t>Criteria Met</w:t>
            </w:r>
          </w:p>
        </w:tc>
        <w:tc>
          <w:tcPr>
            <w:tcW w:w="23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DB378D">
            <w:pPr>
              <w:pStyle w:val="TableColumnHead"/>
              <w:rPr>
                <w:noProof/>
              </w:rPr>
            </w:pPr>
            <w:r w:rsidRPr="00B66EF6">
              <w:t>Applicability Limitation Category</w:t>
            </w:r>
          </w:p>
        </w:tc>
        <w:tc>
          <w:tcPr>
            <w:tcW w:w="38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DB378D">
            <w:pPr>
              <w:pStyle w:val="TableColumnHead"/>
              <w:rPr>
                <w:noProof/>
              </w:rPr>
            </w:pPr>
            <w:r w:rsidRPr="00B66EF6">
              <w:t>Specific Factors Limiting Applicability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Glende</w:t>
            </w:r>
            <w:proofErr w:type="spellEnd"/>
            <w:r w:rsidRPr="00B66EF6">
              <w:rPr>
                <w:sz w:val="18"/>
                <w:szCs w:val="18"/>
              </w:rPr>
              <w:t>, 1983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N=5</w:t>
            </w:r>
          </w:p>
        </w:tc>
        <w:tc>
          <w:tcPr>
            <w:tcW w:w="2902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b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Outcomes, Setting</w:t>
            </w:r>
          </w:p>
        </w:tc>
        <w:tc>
          <w:tcPr>
            <w:tcW w:w="3818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(4 weeks total, 2 weeks per group)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5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conducted before 1990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Jumao</w:t>
            </w:r>
            <w:proofErr w:type="spellEnd"/>
            <w:r w:rsidRPr="00B66EF6">
              <w:rPr>
                <w:sz w:val="18"/>
                <w:szCs w:val="18"/>
              </w:rPr>
              <w:t>-as, 1989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Effectiveness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(10 weeks total, 5 weeks per group)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10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conducted before 1990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Hartley, 1990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N=23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Patients all young (6</w:t>
            </w:r>
            <w:r>
              <w:rPr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>15 years)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Short study duration (12 weeks total, 6 weeks per group)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23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Patients withdrawn were taken out of the final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  <w:trHeight w:val="620"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Hartley, 1991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N=12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Patients all young (6.5</w:t>
            </w:r>
            <w:r>
              <w:rPr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>15 years)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12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(12 weeks total, 6 weeks per group)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Oles</w:t>
            </w:r>
            <w:proofErr w:type="spellEnd"/>
            <w:r w:rsidRPr="00B66EF6">
              <w:rPr>
                <w:sz w:val="18"/>
                <w:szCs w:val="18"/>
              </w:rPr>
              <w:t>, 1992a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Patients had to be 13 years or older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Patients had to be seizure free for extended time (5 months to 2 years)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Had to have been receiving carbamazepine for at least 6 months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Small sample size (only 20 patients enrolled)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(3 months in each group)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lastRenderedPageBreak/>
              <w:t>Oles</w:t>
            </w:r>
            <w:proofErr w:type="spellEnd"/>
            <w:r w:rsidRPr="00B66EF6">
              <w:rPr>
                <w:sz w:val="18"/>
                <w:szCs w:val="18"/>
              </w:rPr>
              <w:t xml:space="preserve"> 1992b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Patients had to be 13 years or older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Patients had to have refractory seizures (at least 2 per month in previous 3 months)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Had to have been receiving CBZ for at least 6 months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20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(3 months in each group)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Reunanen</w:t>
            </w:r>
            <w:proofErr w:type="spellEnd"/>
            <w:r w:rsidRPr="00B66EF6">
              <w:rPr>
                <w:sz w:val="18"/>
                <w:szCs w:val="18"/>
              </w:rPr>
              <w:t>, 1992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N=21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21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(3 months in each group)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Silpakit</w:t>
            </w:r>
            <w:proofErr w:type="spellEnd"/>
            <w:r w:rsidRPr="00B66EF6">
              <w:rPr>
                <w:sz w:val="18"/>
                <w:szCs w:val="18"/>
              </w:rPr>
              <w:t>, 1997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N=18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18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(12 weeks total, 3 weeks on each phase)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Asia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Aldenkamp</w:t>
            </w:r>
            <w:proofErr w:type="spellEnd"/>
            <w:r w:rsidRPr="00B66EF6">
              <w:rPr>
                <w:sz w:val="18"/>
                <w:szCs w:val="18"/>
              </w:rPr>
              <w:t xml:space="preserve">, 1998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N=12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12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(9 days total, 3 days per therapy)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LeLorier</w:t>
            </w:r>
            <w:proofErr w:type="spellEnd"/>
            <w:r w:rsidRPr="00B66EF6">
              <w:rPr>
                <w:sz w:val="18"/>
                <w:szCs w:val="18"/>
              </w:rPr>
              <w:t>, 2008a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N=671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LeLorier</w:t>
            </w:r>
            <w:proofErr w:type="spellEnd"/>
            <w:r w:rsidRPr="00B66EF6">
              <w:rPr>
                <w:sz w:val="18"/>
                <w:szCs w:val="18"/>
              </w:rPr>
              <w:t>, 2008b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N=1060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LeLorier</w:t>
            </w:r>
            <w:proofErr w:type="spellEnd"/>
            <w:r w:rsidRPr="00B66EF6">
              <w:rPr>
                <w:sz w:val="18"/>
                <w:szCs w:val="18"/>
              </w:rPr>
              <w:t>, 2008c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N=202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lastRenderedPageBreak/>
              <w:t>LeLorier</w:t>
            </w:r>
            <w:proofErr w:type="spellEnd"/>
            <w:r w:rsidRPr="00B66EF6">
              <w:rPr>
                <w:sz w:val="18"/>
                <w:szCs w:val="18"/>
              </w:rPr>
              <w:t xml:space="preserve"> 2008d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N=851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sample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Andermann</w:t>
            </w:r>
            <w:proofErr w:type="spellEnd"/>
            <w:r w:rsidRPr="00B66EF6">
              <w:rPr>
                <w:sz w:val="18"/>
                <w:szCs w:val="18"/>
              </w:rPr>
              <w:t>, 2007a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N=1142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 not well specified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No ADRs reported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Andermann</w:t>
            </w:r>
            <w:proofErr w:type="spellEnd"/>
            <w:r w:rsidRPr="00B66EF6">
              <w:rPr>
                <w:sz w:val="18"/>
                <w:szCs w:val="18"/>
              </w:rPr>
              <w:t>, 2007b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N=1600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 not well specified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No ADRs reported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Andermann</w:t>
            </w:r>
            <w:proofErr w:type="spellEnd"/>
            <w:r w:rsidRPr="00B66EF6">
              <w:rPr>
                <w:sz w:val="18"/>
                <w:szCs w:val="18"/>
              </w:rPr>
              <w:t>, 2007c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N=2017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 not well specified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E55438">
        <w:trPr>
          <w:cantSplit/>
          <w:trHeight w:val="1772"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Nielsen, 2008a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N=9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(2 weeks on innovator and 7-15 days on generic)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9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Lund, 1974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N=9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Patients treated with drug for at least one year admitted to hospital to exclude irregular drug intake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(8 days on innovator and 11 days on generic)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9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before 1990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Chen, 1982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N=18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  <w:bookmarkStart w:id="2" w:name="_GoBack"/>
            <w:bookmarkEnd w:id="2"/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Outcomes, Setting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final health outcomes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(9 weeks total, 3 weeks per therapy)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20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before 1990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Hodges, 1986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N=30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Only </w:t>
            </w:r>
            <w:proofErr w:type="spellStart"/>
            <w:r w:rsidRPr="00B66EF6">
              <w:rPr>
                <w:sz w:val="18"/>
                <w:szCs w:val="18"/>
              </w:rPr>
              <w:t>pediatric</w:t>
            </w:r>
            <w:proofErr w:type="spellEnd"/>
            <w:r w:rsidRPr="00B66EF6">
              <w:rPr>
                <w:sz w:val="18"/>
                <w:szCs w:val="18"/>
              </w:rPr>
              <w:t xml:space="preserve"> patients (3</w:t>
            </w:r>
            <w:r>
              <w:rPr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>15 years)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(12 weeks total, 4 weeks on each therapy)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30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before 1990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Kishore, 1986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N=60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Effectiveness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(3 months)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60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Asia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before 1990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Mikati</w:t>
            </w:r>
            <w:proofErr w:type="spellEnd"/>
            <w:r w:rsidRPr="00B66EF6">
              <w:rPr>
                <w:sz w:val="18"/>
                <w:szCs w:val="18"/>
              </w:rPr>
              <w:t>, 1992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N=10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Effectiveness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Intention to treat analysis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Small sample size (only 10 </w:t>
            </w:r>
            <w:proofErr w:type="spellStart"/>
            <w:r w:rsidRPr="00B66EF6">
              <w:rPr>
                <w:sz w:val="18"/>
                <w:szCs w:val="18"/>
              </w:rPr>
              <w:t>pts</w:t>
            </w:r>
            <w:proofErr w:type="spellEnd"/>
            <w:r w:rsidRPr="00B66EF6">
              <w:rPr>
                <w:sz w:val="18"/>
                <w:szCs w:val="18"/>
              </w:rPr>
              <w:t xml:space="preserve"> enrolled)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t>Soryal</w:t>
            </w:r>
            <w:proofErr w:type="spellEnd"/>
            <w:r w:rsidRPr="00B66EF6">
              <w:rPr>
                <w:sz w:val="18"/>
                <w:szCs w:val="18"/>
              </w:rPr>
              <w:t xml:space="preserve">, 1992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N=14 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Enrolled primary care population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Intervention, Comparator,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(4 weeks per therapy)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14 patients enrolled)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Europe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Duh, 2009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N=948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  <w:vertAlign w:val="superscript"/>
              </w:rPr>
            </w:pPr>
            <w:proofErr w:type="spellStart"/>
            <w:r w:rsidRPr="00B66EF6">
              <w:rPr>
                <w:sz w:val="18"/>
                <w:szCs w:val="18"/>
              </w:rPr>
              <w:t>Paradis</w:t>
            </w:r>
            <w:proofErr w:type="spellEnd"/>
            <w:r w:rsidRPr="00B66EF6">
              <w:rPr>
                <w:sz w:val="18"/>
                <w:szCs w:val="18"/>
              </w:rPr>
              <w:t>, 2009</w:t>
            </w:r>
            <w:r w:rsidRPr="00B66EF6">
              <w:rPr>
                <w:sz w:val="18"/>
                <w:szCs w:val="18"/>
                <w:vertAlign w:val="superscript"/>
              </w:rPr>
              <w:t>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N=1164</w:t>
            </w: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Less stringent eligibility criteria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study duration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Adequate sample size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Outcomes, Setting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ADRs reported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Conducted in Canada</w:t>
            </w:r>
          </w:p>
        </w:tc>
      </w:tr>
      <w:tr w:rsidR="00732CC3" w:rsidRPr="00093CFC" w:rsidTr="00DB378D">
        <w:trPr>
          <w:cantSplit/>
        </w:trPr>
        <w:tc>
          <w:tcPr>
            <w:tcW w:w="163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proofErr w:type="spellStart"/>
            <w:r w:rsidRPr="00B66EF6">
              <w:rPr>
                <w:sz w:val="18"/>
                <w:szCs w:val="18"/>
              </w:rPr>
              <w:lastRenderedPageBreak/>
              <w:t>Vadney</w:t>
            </w:r>
            <w:proofErr w:type="spellEnd"/>
            <w:r w:rsidRPr="00B66EF6">
              <w:rPr>
                <w:sz w:val="18"/>
                <w:szCs w:val="18"/>
              </w:rPr>
              <w:t>, 1997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N=64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 Designation: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Efficacy study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Composite Score: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 of 7</w:t>
            </w:r>
          </w:p>
        </w:tc>
        <w:tc>
          <w:tcPr>
            <w:tcW w:w="2852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final health outcomes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Assessed adverse outcomes</w:t>
            </w:r>
          </w:p>
        </w:tc>
        <w:tc>
          <w:tcPr>
            <w:tcW w:w="2346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Population, Intervention, Comparator</w:t>
            </w:r>
          </w:p>
        </w:tc>
        <w:tc>
          <w:tcPr>
            <w:tcW w:w="3818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Limited to patients with mental retardation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Short duration of </w:t>
            </w:r>
            <w:proofErr w:type="spellStart"/>
            <w:r w:rsidRPr="00B66EF6">
              <w:rPr>
                <w:sz w:val="18"/>
                <w:szCs w:val="18"/>
              </w:rPr>
              <w:t>followup</w:t>
            </w:r>
            <w:proofErr w:type="spellEnd"/>
            <w:r w:rsidRPr="00B66EF6">
              <w:rPr>
                <w:sz w:val="18"/>
                <w:szCs w:val="18"/>
              </w:rPr>
              <w:t xml:space="preserve"> (8 weeks total, 4 weeks on each therapy)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Small sample size (only 64 patients enrolled)</w:t>
            </w:r>
          </w:p>
        </w:tc>
      </w:tr>
    </w:tbl>
    <w:p w:rsidR="00732CC3" w:rsidRDefault="00732CC3" w:rsidP="00033079">
      <w:pPr>
        <w:ind w:right="-360"/>
      </w:pPr>
    </w:p>
    <w:sectPr w:rsidR="00732CC3" w:rsidSect="00E55438">
      <w:pgSz w:w="15840" w:h="12240" w:orient="landscape"/>
      <w:pgMar w:top="720" w:right="1440" w:bottom="1440" w:left="1440" w:header="720" w:footer="72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94" w:rsidRDefault="00C13B94">
      <w:r>
        <w:separator/>
      </w:r>
    </w:p>
  </w:endnote>
  <w:endnote w:type="continuationSeparator" w:id="0">
    <w:p w:rsidR="00C13B94" w:rsidRDefault="00C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94" w:rsidRDefault="00C13B94">
      <w:r>
        <w:separator/>
      </w:r>
    </w:p>
  </w:footnote>
  <w:footnote w:type="continuationSeparator" w:id="0">
    <w:p w:rsidR="00C13B94" w:rsidRDefault="00C1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79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1F5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13B94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55438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B783-09EB-4730-A4AB-18AC6EFA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1855</Words>
  <Characters>10615</Characters>
  <Application>Microsoft Office Word</Application>
  <DocSecurity>0</DocSecurity>
  <Lines>589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12093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4</cp:revision>
  <cp:lastPrinted>2011-10-13T16:45:00Z</cp:lastPrinted>
  <dcterms:created xsi:type="dcterms:W3CDTF">2011-12-07T19:16:00Z</dcterms:created>
  <dcterms:modified xsi:type="dcterms:W3CDTF">2012-01-28T09:06:00Z</dcterms:modified>
</cp:coreProperties>
</file>