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DD56CE">
      <w:pPr>
        <w:pStyle w:val="TableTitle"/>
      </w:pPr>
      <w:bookmarkStart w:id="0" w:name="_Toc279938736"/>
      <w:bookmarkStart w:id="1" w:name="_Toc279939109"/>
      <w:bookmarkStart w:id="2" w:name="_GoBack"/>
      <w:bookmarkEnd w:id="2"/>
      <w:proofErr w:type="gramStart"/>
      <w:r w:rsidRPr="00DD56CE">
        <w:t>Table G-4.</w:t>
      </w:r>
      <w:proofErr w:type="gramEnd"/>
      <w:r w:rsidRPr="00DD56CE">
        <w:t xml:space="preserve"> Secondary seizure injury in controlled studies comparing innovator versus generic antiepielptic drugs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725"/>
        <w:gridCol w:w="1710"/>
        <w:gridCol w:w="3007"/>
        <w:gridCol w:w="3009"/>
      </w:tblGrid>
      <w:tr w:rsidR="00732CC3" w:rsidRPr="00B83FF2" w:rsidTr="00381735">
        <w:trPr>
          <w:cantSplit/>
          <w:trHeight w:hRule="exact" w:val="288"/>
          <w:tblHeader/>
        </w:trPr>
        <w:tc>
          <w:tcPr>
            <w:tcW w:w="103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B420C" w:rsidRPr="00381735" w:rsidRDefault="00DD56CE">
            <w:pPr>
              <w:pStyle w:val="TableColumnHeading"/>
            </w:pPr>
            <w:r>
              <w:t>Study, Year</w:t>
            </w:r>
          </w:p>
        </w:tc>
        <w:tc>
          <w:tcPr>
            <w:tcW w:w="103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B420C" w:rsidRPr="00381735" w:rsidRDefault="00DD56CE">
            <w:pPr>
              <w:pStyle w:val="TableColumnHeading"/>
            </w:pPr>
            <w:r>
              <w:t>Group</w:t>
            </w:r>
          </w:p>
        </w:tc>
        <w:tc>
          <w:tcPr>
            <w:tcW w:w="64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B420C" w:rsidRPr="00381735" w:rsidRDefault="00DD56CE">
            <w:pPr>
              <w:pStyle w:val="TableColumnHeading"/>
            </w:pPr>
            <w:r>
              <w:t>N</w:t>
            </w:r>
          </w:p>
        </w:tc>
        <w:tc>
          <w:tcPr>
            <w:tcW w:w="114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B420C" w:rsidRPr="00381735" w:rsidRDefault="00DD56CE">
            <w:pPr>
              <w:pStyle w:val="TableColumnHeading"/>
            </w:pPr>
            <w:r>
              <w:t>Type of Injury</w:t>
            </w:r>
          </w:p>
        </w:tc>
        <w:tc>
          <w:tcPr>
            <w:tcW w:w="114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B420C" w:rsidRDefault="00DD56CE">
            <w:pPr>
              <w:pStyle w:val="TableColumnHeading"/>
            </w:pPr>
            <w:r>
              <w:t>Events (n)</w:t>
            </w:r>
          </w:p>
        </w:tc>
      </w:tr>
      <w:tr w:rsidR="00B83FF2" w:rsidRPr="002A7D43" w:rsidTr="00381735">
        <w:trPr>
          <w:cantSplit/>
          <w:trHeight w:hRule="exact" w:val="288"/>
        </w:trPr>
        <w:tc>
          <w:tcPr>
            <w:tcW w:w="5000" w:type="pct"/>
            <w:gridSpan w:val="5"/>
            <w:tcBorders>
              <w:top w:val="double" w:sz="4" w:space="0" w:color="auto"/>
            </w:tcBorders>
            <w:vAlign w:val="center"/>
          </w:tcPr>
          <w:p w:rsidR="00CA7633" w:rsidRDefault="000D0787">
            <w:pPr>
              <w:pStyle w:val="TableSubhead"/>
              <w:jc w:val="center"/>
              <w:rPr>
                <w:noProof/>
                <w:sz w:val="16"/>
                <w:szCs w:val="16"/>
              </w:rPr>
            </w:pPr>
            <w:r>
              <w:t>Unspecified Innovator and Brand Antiepileptic Drug Products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Rascati, 2009</w:t>
            </w: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Cases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991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Controls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2973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Zachry, 2009</w:t>
            </w: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Cases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416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Controls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1248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Devine, 2010</w:t>
            </w: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Cases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2949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Controls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8847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Labiner, 2010a</w:t>
            </w: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Branded carbamazepine, gabapentin, phenytoin, primidone, zonisamide (manufacturer not reported)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18,125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Carbamazepine, gabapentin, phenytoin, primidone, zonisamide (manufacturer not reported)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Labiner, 2010b</w:t>
            </w: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Branded carbamazepine, gabapentin, phenytoin, primidone, zonisamide (manufacturer not reported)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15,500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Carbamazepine, gabapentin, phenytoin, primidone, zonisamide (manufacturer not reported)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B83FF2" w:rsidRPr="002A7D43" w:rsidTr="00381735">
        <w:trPr>
          <w:cantSplit/>
          <w:trHeight w:hRule="exact" w:val="288"/>
        </w:trPr>
        <w:tc>
          <w:tcPr>
            <w:tcW w:w="5000" w:type="pct"/>
            <w:gridSpan w:val="5"/>
            <w:vAlign w:val="center"/>
          </w:tcPr>
          <w:p w:rsidR="00CA7633" w:rsidRDefault="00B83FF2">
            <w:pPr>
              <w:pStyle w:val="TableSubhead"/>
              <w:jc w:val="center"/>
            </w:pPr>
            <w:r w:rsidRPr="00C95A12">
              <w:t>Carbamazepine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Kauko, 1974a</w:t>
            </w: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Generic Carbamazepine (Laake Oy)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Kauko, 1974b</w:t>
            </w: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Generic Carbamazepine (Laake Oy)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Glende, 1983</w:t>
            </w:r>
          </w:p>
        </w:tc>
        <w:tc>
          <w:tcPr>
            <w:tcW w:w="1034" w:type="pct"/>
            <w:vAlign w:val="center"/>
          </w:tcPr>
          <w:p w:rsidR="00CA7633" w:rsidRDefault="00381735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(AWD Dresden)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 w:val="restart"/>
            <w:vAlign w:val="center"/>
          </w:tcPr>
          <w:p w:rsidR="00381735" w:rsidRDefault="00381735">
            <w:pPr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Jumao-as, 1989</w:t>
            </w:r>
          </w:p>
        </w:tc>
        <w:tc>
          <w:tcPr>
            <w:tcW w:w="1034" w:type="pct"/>
            <w:vAlign w:val="center"/>
          </w:tcPr>
          <w:p w:rsidR="00381735" w:rsidRDefault="00381735">
            <w:pPr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ind w:righ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ind w:righ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81735" w:rsidRPr="002A7D43" w:rsidTr="00B83FF2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ind w:right="-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:rsidR="00381735" w:rsidRDefault="00381735">
            <w:pPr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Generic Carbamazepine (Parke Davis)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ind w:right="-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ind w:righ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ind w:righ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8638F3" w:rsidRDefault="008638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725"/>
        <w:gridCol w:w="1710"/>
        <w:gridCol w:w="3007"/>
        <w:gridCol w:w="3009"/>
      </w:tblGrid>
      <w:tr w:rsidR="008638F3" w:rsidRPr="002A7D43" w:rsidTr="008638F3">
        <w:trPr>
          <w:cantSplit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8638F3">
            <w:pPr>
              <w:pStyle w:val="TableTitle0"/>
              <w:rPr>
                <w:rFonts w:cs="Arial"/>
                <w:sz w:val="18"/>
                <w:szCs w:val="18"/>
              </w:rPr>
            </w:pPr>
            <w:r w:rsidRPr="00381735">
              <w:lastRenderedPageBreak/>
              <w:t>Table G-4. Secondary seizure injury in controlled studies comparing innovator versus generic antiepielptic drugs</w:t>
            </w:r>
            <w:r>
              <w:t xml:space="preserve"> (continued)</w:t>
            </w:r>
          </w:p>
        </w:tc>
      </w:tr>
      <w:tr w:rsidR="008638F3" w:rsidRPr="002A7D43" w:rsidTr="008638F3">
        <w:trPr>
          <w:cantSplit/>
          <w:trHeight w:hRule="exact" w:val="288"/>
          <w:tblHeader/>
        </w:trPr>
        <w:tc>
          <w:tcPr>
            <w:tcW w:w="103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8638F3">
            <w:pPr>
              <w:pStyle w:val="TableColumnHead"/>
              <w:rPr>
                <w:noProof/>
                <w:szCs w:val="24"/>
              </w:rPr>
            </w:pPr>
            <w:r w:rsidRPr="00381735">
              <w:t>Study, Year</w:t>
            </w:r>
          </w:p>
        </w:tc>
        <w:tc>
          <w:tcPr>
            <w:tcW w:w="103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8638F3">
            <w:pPr>
              <w:pStyle w:val="TableColumnHead"/>
              <w:rPr>
                <w:noProof/>
                <w:szCs w:val="24"/>
              </w:rPr>
            </w:pPr>
            <w:r w:rsidRPr="00381735">
              <w:t>Group</w:t>
            </w:r>
          </w:p>
        </w:tc>
        <w:tc>
          <w:tcPr>
            <w:tcW w:w="64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8638F3">
            <w:pPr>
              <w:pStyle w:val="TableColumnHead"/>
              <w:rPr>
                <w:noProof/>
                <w:szCs w:val="24"/>
              </w:rPr>
            </w:pPr>
            <w:r w:rsidRPr="00381735">
              <w:t>N</w:t>
            </w:r>
          </w:p>
        </w:tc>
        <w:tc>
          <w:tcPr>
            <w:tcW w:w="114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8638F3">
            <w:pPr>
              <w:pStyle w:val="TableColumnHead"/>
              <w:rPr>
                <w:noProof/>
                <w:szCs w:val="24"/>
              </w:rPr>
            </w:pPr>
            <w:r w:rsidRPr="00381735">
              <w:t>Type of Injury</w:t>
            </w:r>
          </w:p>
        </w:tc>
        <w:tc>
          <w:tcPr>
            <w:tcW w:w="114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8638F3">
            <w:pPr>
              <w:pStyle w:val="TableColumnHead"/>
              <w:rPr>
                <w:noProof/>
                <w:szCs w:val="24"/>
              </w:rPr>
            </w:pPr>
            <w:r w:rsidRPr="00381735">
              <w:t>Events (n)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tcBorders>
              <w:top w:val="double" w:sz="4" w:space="0" w:color="auto"/>
            </w:tcBorders>
            <w:vAlign w:val="center"/>
          </w:tcPr>
          <w:p w:rsidR="00381735" w:rsidRDefault="00381735">
            <w:pPr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Hartley, 1990</w:t>
            </w:r>
          </w:p>
        </w:tc>
        <w:tc>
          <w:tcPr>
            <w:tcW w:w="1034" w:type="pct"/>
            <w:tcBorders>
              <w:top w:val="double" w:sz="4" w:space="0" w:color="auto"/>
            </w:tcBorders>
            <w:vAlign w:val="center"/>
          </w:tcPr>
          <w:p w:rsidR="00381735" w:rsidRDefault="00381735">
            <w:pPr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Tegretol (Ciba-Geigy)</w:t>
            </w:r>
          </w:p>
        </w:tc>
        <w:tc>
          <w:tcPr>
            <w:tcW w:w="649" w:type="pct"/>
            <w:tcBorders>
              <w:top w:val="double" w:sz="4" w:space="0" w:color="auto"/>
            </w:tcBorders>
            <w:vAlign w:val="center"/>
          </w:tcPr>
          <w:p w:rsidR="00CA7633" w:rsidRDefault="00381735">
            <w:pPr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41" w:type="pct"/>
            <w:tcBorders>
              <w:top w:val="double" w:sz="4" w:space="0" w:color="auto"/>
            </w:tcBorders>
            <w:vAlign w:val="center"/>
          </w:tcPr>
          <w:p w:rsidR="00CA7633" w:rsidRDefault="00381735">
            <w:pPr>
              <w:ind w:righ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2" w:type="pct"/>
            <w:tcBorders>
              <w:top w:val="double" w:sz="4" w:space="0" w:color="auto"/>
            </w:tcBorders>
            <w:vAlign w:val="center"/>
          </w:tcPr>
          <w:p w:rsidR="00CA7633" w:rsidRDefault="00381735">
            <w:pPr>
              <w:ind w:right="-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E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 (Ethical Generics)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Hartley, 1991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Carbamazepine (Ethical Generics)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Oles, 1992a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20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Carbamazepine (Lemmon Co)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Oles 1992b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20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Carbamazepine (Lemmon Co)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Reunanen, 1992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Tegretol Retard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21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Carbamazepine (Laakefarmos)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Silpakit, 1997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18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034" w:type="pct"/>
          </w:tcPr>
          <w:p w:rsidR="00381735" w:rsidRDefault="00381735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 (Central Poly)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  <w:rPr>
                <w:rFonts w:eastAsia="Times New Roman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034" w:type="pct"/>
          </w:tcPr>
          <w:p w:rsidR="00381735" w:rsidRDefault="00381735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 (Condrugs)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  <w:rPr>
                <w:rFonts w:eastAsia="Times New Roman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pStyle w:val="TableText"/>
              <w:rPr>
                <w:rFonts w:eastAsia="Times New Roman"/>
              </w:rPr>
            </w:pPr>
          </w:p>
        </w:tc>
        <w:tc>
          <w:tcPr>
            <w:tcW w:w="1034" w:type="pct"/>
          </w:tcPr>
          <w:p w:rsidR="00381735" w:rsidRDefault="00381735">
            <w:pPr>
              <w:pStyle w:val="TableText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Carbamazepine (Pharmaland)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  <w:rPr>
                <w:rFonts w:eastAsia="Times New Roman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  <w:rPr>
                <w:rFonts w:eastAsia="Times New Roman"/>
              </w:rPr>
            </w:pPr>
            <w:r w:rsidRPr="00B66EF6">
              <w:rPr>
                <w:rFonts w:eastAsia="Times New Roman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 xml:space="preserve">Aldenkamp, 1998 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Tegretol (Ciba-Geigy)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Generic (Pharmachemie)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Generic (Pharbita)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12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Garnett, 2005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Tegretol (Novartis)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275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Generic (Various/Unspecified) Tablets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705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LeLorier, 2008d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Tegretol CR (manufacturer not reported)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851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Carbamazepine CR (manufacturer not reported)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B83FF2" w:rsidRPr="002A7D43" w:rsidTr="00381735">
        <w:trPr>
          <w:cantSplit/>
          <w:trHeight w:hRule="exact" w:val="288"/>
        </w:trPr>
        <w:tc>
          <w:tcPr>
            <w:tcW w:w="5000" w:type="pct"/>
            <w:gridSpan w:val="5"/>
            <w:vAlign w:val="center"/>
          </w:tcPr>
          <w:p w:rsidR="00CA7633" w:rsidRDefault="00B83FF2">
            <w:pPr>
              <w:pStyle w:val="TableSubhead"/>
              <w:jc w:val="center"/>
            </w:pPr>
            <w:r w:rsidRPr="00C95A12">
              <w:t>Clobazam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Andermann, 2007b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Frisium (manufacturer not reported)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1600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Clobazam (manufacturers not reported)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lastRenderedPageBreak/>
              <w:t>LeLorier 2008b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Frisium (manufacturer not reported)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1060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Clobazam (manufacturer not reported)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B83FF2" w:rsidRPr="002A7D43" w:rsidTr="00381735">
        <w:trPr>
          <w:cantSplit/>
          <w:trHeight w:hRule="exact" w:val="288"/>
        </w:trPr>
        <w:tc>
          <w:tcPr>
            <w:tcW w:w="5000" w:type="pct"/>
            <w:gridSpan w:val="5"/>
            <w:vAlign w:val="center"/>
          </w:tcPr>
          <w:p w:rsidR="00CA7633" w:rsidRDefault="00B83FF2">
            <w:pPr>
              <w:pStyle w:val="TableSubhead"/>
              <w:keepNext/>
              <w:keepLines/>
              <w:jc w:val="center"/>
            </w:pPr>
            <w:r w:rsidRPr="00C95A12">
              <w:t>Gabapentin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LeLorier, 2008c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Neurontin (manufacturer not reported)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202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Gabapentin (manufacturer not reported)</w:t>
            </w:r>
          </w:p>
        </w:tc>
        <w:tc>
          <w:tcPr>
            <w:tcW w:w="649" w:type="pct"/>
          </w:tcPr>
          <w:p w:rsidR="00CA7633" w:rsidRDefault="00CA7633">
            <w:pPr>
              <w:pStyle w:val="TableText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B83FF2" w:rsidRPr="002A7D43" w:rsidTr="00381735">
        <w:trPr>
          <w:cantSplit/>
          <w:trHeight w:hRule="exact" w:val="288"/>
        </w:trPr>
        <w:tc>
          <w:tcPr>
            <w:tcW w:w="5000" w:type="pct"/>
            <w:gridSpan w:val="5"/>
            <w:vAlign w:val="center"/>
          </w:tcPr>
          <w:p w:rsidR="00CA7633" w:rsidRDefault="00B83FF2">
            <w:pPr>
              <w:pStyle w:val="TableSubhead"/>
              <w:jc w:val="center"/>
            </w:pPr>
            <w:r w:rsidRPr="00C95A12">
              <w:t>Lamotrigine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Andermann, 2007a</w:t>
            </w:r>
          </w:p>
        </w:tc>
        <w:tc>
          <w:tcPr>
            <w:tcW w:w="1034" w:type="pc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Lamictal (GlaxoSmithKline)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1142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(manufacturers not reported)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LeLorier, 2008a</w:t>
            </w:r>
          </w:p>
        </w:tc>
        <w:tc>
          <w:tcPr>
            <w:tcW w:w="1034" w:type="pc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Lamictal (GlaxoSmithKline) 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671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(manufacturer(s) not reported)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Nielsen, 2008a</w:t>
            </w:r>
          </w:p>
        </w:tc>
        <w:tc>
          <w:tcPr>
            <w:tcW w:w="1034" w:type="pc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Lamictal (manufacturer not reported)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:rsidR="00381735" w:rsidRDefault="00381735">
            <w:pPr>
              <w:pStyle w:val="TableText8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(Copyform, Hexal, Ratiofarm, Ratiopharm, Farma, Actavis, Stada)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B83FF2" w:rsidRPr="002A7D43" w:rsidTr="00381735">
        <w:trPr>
          <w:cantSplit/>
          <w:trHeight w:hRule="exact" w:val="288"/>
        </w:trPr>
        <w:tc>
          <w:tcPr>
            <w:tcW w:w="5000" w:type="pct"/>
            <w:gridSpan w:val="5"/>
            <w:vAlign w:val="center"/>
          </w:tcPr>
          <w:p w:rsidR="00CA7633" w:rsidRDefault="00B83FF2">
            <w:pPr>
              <w:pStyle w:val="TableSubhead"/>
              <w:jc w:val="center"/>
            </w:pPr>
            <w:r w:rsidRPr="00C95A12">
              <w:t>Levetiracetam</w:t>
            </w:r>
            <w:r>
              <w:t xml:space="preserve">, </w:t>
            </w:r>
            <w:r w:rsidRPr="00B66EF6">
              <w:t>Oxcarbazepine</w:t>
            </w:r>
            <w:r>
              <w:t xml:space="preserve">, </w:t>
            </w:r>
            <w:r w:rsidRPr="00B66EF6">
              <w:t>Phenobarbital or Primidone</w:t>
            </w:r>
            <w:r>
              <w:t xml:space="preserve"> </w:t>
            </w:r>
            <w:r w:rsidRPr="00B66EF6">
              <w:t>Phenytoin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Lund, 1974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Epanutin (Parke-Davis) capsules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9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(Leo) capsules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Chen, 1982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Epanutin (Parke-Davis) capsules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18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(Boots)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(Cox)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(Kerfoot)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(McCarthy UK)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lastRenderedPageBreak/>
              <w:t>Hodges, 1986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>Phenytoin (Parke-Davis) capsules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19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>Phenytoin (Boots)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>Phenytoin (Evans)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keepNext/>
              <w:keepLines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>Kishore, 1986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 xml:space="preserve">Dilantin (Parke-Davis, India) capsules 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15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 xml:space="preserve">Phenytoin (Epsolin, Cadila) tablets 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 xml:space="preserve">Phenytoin (Eptoin, Boots India) tablets 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(Epileptin, Indian Drugs and Pharmaceuticals) capsules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 xml:space="preserve">Mikati, 1992a 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Dilantin (Parke-Davis) capsules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10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(Phenytex, manufacturer not reported) capsules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Soryal, 1992</w:t>
            </w:r>
            <w:r w:rsidRPr="00B66EF6">
              <w:rPr>
                <w:vertAlign w:val="superscript"/>
              </w:rPr>
              <w:t xml:space="preserve">a 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Epanutin (Parke-Davis) capsules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14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(Evans)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(APS)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(Cox)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(Kerfoot)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Phenytoin sodium (Regent) tablets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B83FF2" w:rsidRPr="002A7D43" w:rsidTr="00381735">
        <w:trPr>
          <w:cantSplit/>
          <w:trHeight w:hRule="exact" w:val="288"/>
        </w:trPr>
        <w:tc>
          <w:tcPr>
            <w:tcW w:w="5000" w:type="pct"/>
            <w:gridSpan w:val="5"/>
            <w:vAlign w:val="center"/>
          </w:tcPr>
          <w:p w:rsidR="00CA7633" w:rsidRDefault="00B83FF2">
            <w:pPr>
              <w:pStyle w:val="TableSubhead"/>
              <w:jc w:val="center"/>
            </w:pPr>
            <w:r w:rsidRPr="00C95A12">
              <w:t>Topiramate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Duh, 2009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Topamax (Ortho-McNeil)</w:t>
            </w:r>
          </w:p>
          <w:p w:rsidR="00CA7633" w:rsidRDefault="00CA7633">
            <w:pPr>
              <w:pStyle w:val="TableText"/>
            </w:pP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875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 xml:space="preserve">Topiramate (Various manufacturers) </w:t>
            </w:r>
            <w:r w:rsidRPr="00B66EF6">
              <w:rPr>
                <w:rFonts w:hint="eastAsia"/>
              </w:rPr>
              <w:t>–</w:t>
            </w:r>
            <w:r w:rsidRPr="00B66EF6">
              <w:t xml:space="preserve"> Single Product Users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331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 xml:space="preserve">Topiramate (Various manufacturers) </w:t>
            </w:r>
            <w:r w:rsidRPr="00B66EF6">
              <w:rPr>
                <w:rFonts w:hint="eastAsia"/>
              </w:rPr>
              <w:t>–</w:t>
            </w:r>
            <w:r w:rsidRPr="00B66EF6">
              <w:t xml:space="preserve"> Multiple Product Users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99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lastRenderedPageBreak/>
              <w:t>Paradis, 2009</w:t>
            </w:r>
            <w:r w:rsidRPr="00B66EF6">
              <w:rPr>
                <w:vertAlign w:val="superscript"/>
              </w:rPr>
              <w:t xml:space="preserve">b 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>Topamax (Ortho-McNeil)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  <w:keepNext/>
              <w:keepLines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>Topiramate (Various manufacturers)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8"/>
              <w:keepNext/>
              <w:keepLines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B83FF2" w:rsidRPr="002A7D43" w:rsidTr="00381735">
        <w:trPr>
          <w:cantSplit/>
          <w:trHeight w:hRule="exact" w:val="288"/>
        </w:trPr>
        <w:tc>
          <w:tcPr>
            <w:tcW w:w="5000" w:type="pct"/>
            <w:gridSpan w:val="5"/>
            <w:vAlign w:val="center"/>
          </w:tcPr>
          <w:p w:rsidR="00CA7633" w:rsidRDefault="00B83FF2">
            <w:pPr>
              <w:pStyle w:val="TableSubhead"/>
              <w:keepNext/>
              <w:keepLines/>
              <w:jc w:val="center"/>
            </w:pPr>
            <w:r w:rsidRPr="00C95A12">
              <w:t>Valproic Acid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>Vadney, 1997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  <w:keepNext/>
              <w:keepLines/>
            </w:pPr>
            <w:r w:rsidRPr="00B66EF6">
              <w:t>Depakene (Abbott)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64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keepNext/>
              <w:keepLines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Valproic acid (Solvay)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 w:val="restart"/>
            <w:vAlign w:val="center"/>
          </w:tcPr>
          <w:p w:rsidR="00CA7633" w:rsidRDefault="00381735">
            <w:pPr>
              <w:pStyle w:val="TableText"/>
            </w:pPr>
            <w:r w:rsidRPr="00B66EF6">
              <w:t>Andermann, 2007c</w:t>
            </w: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Depakene (manufacturer not reported)</w:t>
            </w:r>
          </w:p>
        </w:tc>
        <w:tc>
          <w:tcPr>
            <w:tcW w:w="649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2017</w:t>
            </w: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  <w:tr w:rsidR="00381735" w:rsidRPr="002A7D43" w:rsidTr="008638F3">
        <w:trPr>
          <w:cantSplit/>
        </w:trPr>
        <w:tc>
          <w:tcPr>
            <w:tcW w:w="1034" w:type="pct"/>
            <w:vMerge/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034" w:type="pct"/>
          </w:tcPr>
          <w:p w:rsidR="00CA7633" w:rsidRDefault="00381735">
            <w:pPr>
              <w:pStyle w:val="TableText"/>
            </w:pPr>
            <w:r w:rsidRPr="00B66EF6">
              <w:t>Valproic Acid (manufacturers not reported)</w:t>
            </w:r>
          </w:p>
        </w:tc>
        <w:tc>
          <w:tcPr>
            <w:tcW w:w="649" w:type="pct"/>
            <w:vAlign w:val="center"/>
          </w:tcPr>
          <w:p w:rsidR="00CA7633" w:rsidRDefault="00CA7633">
            <w:pPr>
              <w:pStyle w:val="TableText"/>
              <w:jc w:val="center"/>
            </w:pPr>
          </w:p>
        </w:tc>
        <w:tc>
          <w:tcPr>
            <w:tcW w:w="1141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  <w:tc>
          <w:tcPr>
            <w:tcW w:w="1142" w:type="pct"/>
            <w:vAlign w:val="center"/>
          </w:tcPr>
          <w:p w:rsidR="00CA7633" w:rsidRDefault="00381735">
            <w:pPr>
              <w:pStyle w:val="TableText"/>
              <w:jc w:val="center"/>
            </w:pPr>
            <w:r w:rsidRPr="00B66EF6">
              <w:t>-</w:t>
            </w:r>
          </w:p>
        </w:tc>
      </w:tr>
    </w:tbl>
    <w:p w:rsidR="00CA7633" w:rsidRDefault="008638F3">
      <w:pPr>
        <w:pStyle w:val="TableNote"/>
      </w:pPr>
      <w:r w:rsidRPr="00B66EF6">
        <w:t>-</w:t>
      </w:r>
      <w:r>
        <w:t xml:space="preserve"> </w:t>
      </w:r>
      <w:r w:rsidRPr="00B66EF6">
        <w:t>=</w:t>
      </w:r>
      <w:r>
        <w:t xml:space="preserve"> </w:t>
      </w:r>
      <w:r w:rsidRPr="00B66EF6">
        <w:t>not reported; N</w:t>
      </w:r>
      <w:r>
        <w:t xml:space="preserve"> </w:t>
      </w:r>
      <w:r w:rsidRPr="00B66EF6">
        <w:t>=</w:t>
      </w:r>
      <w:r>
        <w:t xml:space="preserve"> </w:t>
      </w:r>
      <w:r w:rsidRPr="00B66EF6">
        <w:t>sample size; n</w:t>
      </w:r>
      <w:r>
        <w:t xml:space="preserve"> </w:t>
      </w:r>
      <w:r w:rsidRPr="00B66EF6">
        <w:t>=</w:t>
      </w:r>
      <w:r>
        <w:t xml:space="preserve"> </w:t>
      </w:r>
      <w:r w:rsidRPr="00B66EF6">
        <w:t>number of events</w:t>
      </w:r>
      <w:r w:rsidRPr="00B66EF6">
        <w:rPr>
          <w:vertAlign w:val="superscript"/>
        </w:rPr>
        <w:t xml:space="preserve"> </w:t>
      </w:r>
      <w:r>
        <w:rPr>
          <w:vertAlign w:val="superscript"/>
        </w:rPr>
        <w:br/>
      </w:r>
      <w:r w:rsidR="00732CC3" w:rsidRPr="00B66EF6">
        <w:rPr>
          <w:vertAlign w:val="superscript"/>
        </w:rPr>
        <w:t>a</w:t>
      </w:r>
      <w:r w:rsidR="00732CC3" w:rsidRPr="00B66EF6">
        <w:t xml:space="preserve">Crossover </w:t>
      </w:r>
      <w:r w:rsidR="00732CC3">
        <w:t>S</w:t>
      </w:r>
      <w:r w:rsidR="00732CC3" w:rsidRPr="00B66EF6">
        <w:t>tudy</w:t>
      </w:r>
      <w:r>
        <w:rPr>
          <w:vertAlign w:val="superscript"/>
        </w:rPr>
        <w:br/>
      </w:r>
      <w:r w:rsidR="00732CC3" w:rsidRPr="00B66EF6">
        <w:rPr>
          <w:vertAlign w:val="superscript"/>
        </w:rPr>
        <w:t>b</w:t>
      </w:r>
      <w:r w:rsidR="00732CC3" w:rsidRPr="00B66EF6">
        <w:t>Reports on same database as Duh 2009</w:t>
      </w:r>
    </w:p>
    <w:sectPr w:rsidR="00CA7633" w:rsidSect="00412901">
      <w:pgSz w:w="15840" w:h="12240" w:orient="landscape"/>
      <w:pgMar w:top="1440" w:right="1440" w:bottom="1440" w:left="1440" w:header="720" w:footer="66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13" w:rsidRDefault="00D72013">
      <w:r>
        <w:separator/>
      </w:r>
    </w:p>
  </w:endnote>
  <w:endnote w:type="continuationSeparator" w:id="0">
    <w:p w:rsidR="00D72013" w:rsidRDefault="00D7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13" w:rsidRDefault="00D72013">
      <w:r>
        <w:separator/>
      </w:r>
    </w:p>
  </w:footnote>
  <w:footnote w:type="continuationSeparator" w:id="0">
    <w:p w:rsidR="00D72013" w:rsidRDefault="00D7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2901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013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6A64-6EBA-4C3F-8B0C-4D8C0701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4766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2012-01-28T06:23:00Z</dcterms:modified>
</cp:coreProperties>
</file>