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C3" w:rsidRDefault="00732CC3" w:rsidP="00732CC3">
      <w:pPr>
        <w:pStyle w:val="TableandFigureHeading"/>
      </w:pPr>
      <w:bookmarkStart w:id="0" w:name="_Toc279938735"/>
      <w:bookmarkStart w:id="1" w:name="_Toc279939108"/>
      <w:bookmarkStart w:id="2" w:name="_GoBack"/>
      <w:bookmarkEnd w:id="2"/>
      <w:proofErr w:type="gramStart"/>
      <w:r w:rsidRPr="00D92B23">
        <w:t xml:space="preserve">Table </w:t>
      </w:r>
      <w:r>
        <w:t>G-3</w:t>
      </w:r>
      <w:r w:rsidRPr="00D92B23">
        <w:t>.</w:t>
      </w:r>
      <w:proofErr w:type="gramEnd"/>
      <w:r w:rsidRPr="00D92B23">
        <w:t xml:space="preserve"> Final health outcomes in controlled studies comparing innovator versus generic </w:t>
      </w:r>
      <w:r>
        <w:t>antiepileptic drugs</w:t>
      </w:r>
      <w:bookmarkEnd w:id="0"/>
      <w:bookmarkEnd w:id="1"/>
    </w:p>
    <w:tbl>
      <w:tblPr>
        <w:tblW w:w="13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539"/>
        <w:gridCol w:w="1923"/>
        <w:gridCol w:w="838"/>
        <w:gridCol w:w="882"/>
        <w:gridCol w:w="1275"/>
        <w:gridCol w:w="1668"/>
        <w:gridCol w:w="1145"/>
        <w:gridCol w:w="1735"/>
        <w:gridCol w:w="1152"/>
        <w:gridCol w:w="1431"/>
      </w:tblGrid>
      <w:tr w:rsidR="002E57F5" w:rsidRPr="002A7D43" w:rsidTr="002E57F5">
        <w:trPr>
          <w:cantSplit/>
          <w:trHeight w:val="986"/>
        </w:trPr>
        <w:tc>
          <w:tcPr>
            <w:tcW w:w="1539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 xml:space="preserve">Study, </w:t>
            </w:r>
            <w:r>
              <w:t>Y</w:t>
            </w:r>
            <w:r w:rsidRPr="002A7D43">
              <w:t>ear</w:t>
            </w:r>
          </w:p>
        </w:tc>
        <w:tc>
          <w:tcPr>
            <w:tcW w:w="1923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>Group</w:t>
            </w:r>
          </w:p>
        </w:tc>
        <w:tc>
          <w:tcPr>
            <w:tcW w:w="838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>N</w:t>
            </w:r>
          </w:p>
        </w:tc>
        <w:tc>
          <w:tcPr>
            <w:tcW w:w="882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>Deaths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 xml:space="preserve">Office/ER </w:t>
            </w:r>
            <w:r>
              <w:t>V</w:t>
            </w:r>
            <w:r w:rsidRPr="002A7D43">
              <w:t>isits (n)</w:t>
            </w:r>
          </w:p>
        </w:tc>
        <w:tc>
          <w:tcPr>
            <w:tcW w:w="1668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 xml:space="preserve">Hospitalizations, </w:t>
            </w:r>
            <w:r>
              <w:t>E</w:t>
            </w:r>
            <w:r w:rsidRPr="002A7D43">
              <w:t>vents (n)</w:t>
            </w:r>
          </w:p>
        </w:tc>
        <w:tc>
          <w:tcPr>
            <w:tcW w:w="1145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 xml:space="preserve">Hospital </w:t>
            </w:r>
            <w:r>
              <w:t>D</w:t>
            </w:r>
            <w:r w:rsidRPr="002A7D43">
              <w:t xml:space="preserve">uration, </w:t>
            </w:r>
            <w:r>
              <w:t>M</w:t>
            </w:r>
            <w:r w:rsidRPr="002A7D43">
              <w:t>ean (SD)</w:t>
            </w:r>
          </w:p>
        </w:tc>
        <w:tc>
          <w:tcPr>
            <w:tcW w:w="1735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 xml:space="preserve">Composite of Ambulance/ER/ Hospitalizations, </w:t>
            </w:r>
            <w:r>
              <w:t>E</w:t>
            </w:r>
            <w:r w:rsidRPr="002A7D43">
              <w:t>vents (n)</w:t>
            </w:r>
          </w:p>
        </w:tc>
        <w:tc>
          <w:tcPr>
            <w:tcW w:w="1152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 xml:space="preserve">Loss of Drivers License, </w:t>
            </w:r>
            <w:r>
              <w:t>E</w:t>
            </w:r>
            <w:r w:rsidRPr="002A7D43">
              <w:t>vents (n)</w:t>
            </w:r>
          </w:p>
        </w:tc>
        <w:tc>
          <w:tcPr>
            <w:tcW w:w="1431" w:type="dxa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bottom w:w="29" w:type="dxa"/>
            </w:tcMar>
            <w:vAlign w:val="center"/>
          </w:tcPr>
          <w:p w:rsidR="00B83FF2" w:rsidRDefault="00732CC3">
            <w:pPr>
              <w:pStyle w:val="TableColumnHeading"/>
            </w:pPr>
            <w:r w:rsidRPr="002A7D43">
              <w:t xml:space="preserve">Loss of Employment, </w:t>
            </w:r>
            <w:r>
              <w:t>E</w:t>
            </w:r>
            <w:r w:rsidRPr="002A7D43">
              <w:t>vents (n)</w:t>
            </w:r>
          </w:p>
        </w:tc>
      </w:tr>
      <w:tr w:rsidR="002E57F5" w:rsidRPr="002A7D43" w:rsidTr="002E57F5">
        <w:trPr>
          <w:cantSplit/>
          <w:trHeight w:hRule="exact" w:val="288"/>
        </w:trPr>
        <w:tc>
          <w:tcPr>
            <w:tcW w:w="13588" w:type="dxa"/>
            <w:gridSpan w:val="10"/>
            <w:tcBorders>
              <w:top w:val="double" w:sz="4" w:space="0" w:color="auto"/>
            </w:tcBorders>
            <w:vAlign w:val="center"/>
          </w:tcPr>
          <w:p w:rsidR="00CA7633" w:rsidRDefault="000D0787">
            <w:pPr>
              <w:pStyle w:val="TableSubhead"/>
              <w:jc w:val="center"/>
              <w:rPr>
                <w:noProof/>
                <w:sz w:val="16"/>
                <w:szCs w:val="16"/>
              </w:rPr>
            </w:pPr>
            <w:r>
              <w:t>Unspecified Innovator and Brand Antiepileptic Drug Products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Rascati, 2009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Cases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991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Controls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2973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Zachry, 2009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Cases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416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Controls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1248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Devine, 2010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Cases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2949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Controls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8847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Labiner, 2010a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Branded carbamazepine, gabapentin, phenytoin, primidone, zonisamide (manufacturer not reported)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18,125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11.86 events/person-years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0.15 events/person-years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1.02 days/event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Carbamazepine, gabapentin, phenytoin, primidone, zonisamide (manufacturer not reported)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14.26 events/person-years (unadjusted rate ratio with 95% CI = 1.20 (1.19-1.21); adjusted rate ratio (1.20 (1.19-1.21))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  <w:lang w:val="en-US"/>
              </w:rPr>
              <w:t xml:space="preserve">0.20 </w:t>
            </w:r>
            <w:r w:rsidRPr="00B66EF6">
              <w:rPr>
                <w:sz w:val="18"/>
                <w:szCs w:val="18"/>
              </w:rPr>
              <w:t>events/person-years</w:t>
            </w:r>
          </w:p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(unadjusted rate ratio with 95% CI = 1.35 (1.27-1.43); adjusted rate ratio (1.31 (1.24-1.40))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1.38 days/events</w:t>
            </w:r>
          </w:p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(unadjusted rate ratio with 95% CI = 1.36 (1.33-1.39); adjusted rate ratio (1.33 (1.30-1.36))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</w:tbl>
    <w:p w:rsidR="00E04B52" w:rsidRDefault="00E04B52"/>
    <w:tbl>
      <w:tblPr>
        <w:tblW w:w="13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539"/>
        <w:gridCol w:w="1923"/>
        <w:gridCol w:w="838"/>
        <w:gridCol w:w="882"/>
        <w:gridCol w:w="1275"/>
        <w:gridCol w:w="1668"/>
        <w:gridCol w:w="1145"/>
        <w:gridCol w:w="1735"/>
        <w:gridCol w:w="1152"/>
        <w:gridCol w:w="1431"/>
      </w:tblGrid>
      <w:tr w:rsidR="00E04B52" w:rsidRPr="002A7D43" w:rsidTr="00E04B52">
        <w:trPr>
          <w:cantSplit/>
          <w:tblHeader/>
        </w:trPr>
        <w:tc>
          <w:tcPr>
            <w:tcW w:w="1358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E04B52">
            <w:pPr>
              <w:pStyle w:val="TableTitle"/>
              <w:rPr>
                <w:sz w:val="18"/>
                <w:szCs w:val="18"/>
              </w:rPr>
            </w:pPr>
            <w:r w:rsidRPr="00D92B23">
              <w:lastRenderedPageBreak/>
              <w:t xml:space="preserve">Table </w:t>
            </w:r>
            <w:r>
              <w:t>G-3</w:t>
            </w:r>
            <w:r w:rsidRPr="00D92B23">
              <w:t xml:space="preserve">. Final health outcomes in controlled studies comparing innovator versus generic </w:t>
            </w:r>
            <w:r>
              <w:t>antiepileptic drugs (continued)</w:t>
            </w:r>
          </w:p>
        </w:tc>
      </w:tr>
      <w:tr w:rsidR="00E04B52" w:rsidRPr="002A7D43" w:rsidTr="00E04B52">
        <w:trPr>
          <w:cantSplit/>
          <w:tblHeader/>
        </w:trPr>
        <w:tc>
          <w:tcPr>
            <w:tcW w:w="15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 xml:space="preserve">Study, </w:t>
            </w:r>
            <w:r>
              <w:t>Y</w:t>
            </w:r>
            <w:r w:rsidRPr="002A7D43">
              <w:t>ear</w:t>
            </w:r>
          </w:p>
        </w:tc>
        <w:tc>
          <w:tcPr>
            <w:tcW w:w="192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>Group</w:t>
            </w:r>
          </w:p>
        </w:tc>
        <w:tc>
          <w:tcPr>
            <w:tcW w:w="8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>N</w:t>
            </w:r>
          </w:p>
        </w:tc>
        <w:tc>
          <w:tcPr>
            <w:tcW w:w="8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>Deaths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 xml:space="preserve">Office/ER </w:t>
            </w:r>
            <w:r>
              <w:t>V</w:t>
            </w:r>
            <w:r w:rsidRPr="002A7D43">
              <w:t>isits (n)</w:t>
            </w:r>
          </w:p>
        </w:tc>
        <w:tc>
          <w:tcPr>
            <w:tcW w:w="16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 xml:space="preserve">Hospitalizations, </w:t>
            </w:r>
            <w:r>
              <w:t>E</w:t>
            </w:r>
            <w:r w:rsidRPr="002A7D43">
              <w:t>vents (n)</w:t>
            </w:r>
          </w:p>
        </w:tc>
        <w:tc>
          <w:tcPr>
            <w:tcW w:w="11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 xml:space="preserve">Hospital </w:t>
            </w:r>
            <w:r>
              <w:t>D</w:t>
            </w:r>
            <w:r w:rsidRPr="002A7D43">
              <w:t xml:space="preserve">uration, </w:t>
            </w:r>
            <w:r>
              <w:t>M</w:t>
            </w:r>
            <w:r w:rsidRPr="002A7D43">
              <w:t>ean (SD)</w:t>
            </w:r>
          </w:p>
        </w:tc>
        <w:tc>
          <w:tcPr>
            <w:tcW w:w="17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 xml:space="preserve">Composite of Ambulance/ER/ Hospitalizations, </w:t>
            </w:r>
            <w:r>
              <w:t>E</w:t>
            </w:r>
            <w:r w:rsidRPr="002A7D43">
              <w:t>vents (n)</w:t>
            </w:r>
          </w:p>
        </w:tc>
        <w:tc>
          <w:tcPr>
            <w:tcW w:w="11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 xml:space="preserve">Loss of Drivers License, </w:t>
            </w:r>
            <w:r>
              <w:t>E</w:t>
            </w:r>
            <w:r w:rsidRPr="002A7D43">
              <w:t>vents (n)</w:t>
            </w:r>
          </w:p>
        </w:tc>
        <w:tc>
          <w:tcPr>
            <w:tcW w:w="14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E04B52">
            <w:pPr>
              <w:pStyle w:val="TableColumnHead"/>
              <w:rPr>
                <w:noProof/>
              </w:rPr>
            </w:pPr>
            <w:r w:rsidRPr="002A7D43">
              <w:t xml:space="preserve">Loss of Employment, </w:t>
            </w:r>
            <w:r>
              <w:t>E</w:t>
            </w:r>
            <w:r w:rsidRPr="002A7D43">
              <w:t>vents (n)</w:t>
            </w:r>
          </w:p>
        </w:tc>
      </w:tr>
      <w:tr w:rsidR="002E57F5" w:rsidRPr="002A7D43" w:rsidTr="00E04B52">
        <w:trPr>
          <w:cantSplit/>
        </w:trPr>
        <w:tc>
          <w:tcPr>
            <w:tcW w:w="1539" w:type="dxa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Labiner, 2010b</w:t>
            </w:r>
          </w:p>
        </w:tc>
        <w:tc>
          <w:tcPr>
            <w:tcW w:w="1923" w:type="dxa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  <w:lang w:val="en-US"/>
              </w:rPr>
              <w:t>Branded carbamazepine</w:t>
            </w:r>
            <w:r w:rsidRPr="00B66EF6">
              <w:rPr>
                <w:sz w:val="18"/>
                <w:szCs w:val="18"/>
              </w:rPr>
              <w:t>, gabapentin, phenytoin, primidone, zonisamide (manufacturer not reported)</w:t>
            </w:r>
          </w:p>
        </w:tc>
        <w:tc>
          <w:tcPr>
            <w:tcW w:w="838" w:type="dxa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15,500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23.33 events/person-years</w:t>
            </w:r>
          </w:p>
        </w:tc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0.34 events/person-years</w:t>
            </w:r>
          </w:p>
        </w:tc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2.33 days/event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Carbamazepine, gabapentin, phenytoin, primidone, zonisamide (manufacturer not reported)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28.36 events/person-years (unadjusted rate ratio with 95% CI = 1.22 (1.21-1.22); adjusted rate ratio (1.16 (1.16-1.17))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  <w:lang w:val="en-US"/>
              </w:rPr>
              <w:t xml:space="preserve">0.47 </w:t>
            </w:r>
            <w:r w:rsidRPr="00B66EF6">
              <w:rPr>
                <w:sz w:val="18"/>
                <w:szCs w:val="18"/>
              </w:rPr>
              <w:t>events/person-years</w:t>
            </w:r>
          </w:p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(unadjusted rate ratio with 95% CI = 1.38 (1.32-1.43); adjusted rate ratio (1.30 (1.25-1.36))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  <w:lang w:val="en-US"/>
              </w:rPr>
              <w:t xml:space="preserve">3.29 </w:t>
            </w:r>
            <w:r w:rsidRPr="00B66EF6">
              <w:rPr>
                <w:sz w:val="18"/>
                <w:szCs w:val="18"/>
              </w:rPr>
              <w:t>days/event</w:t>
            </w:r>
          </w:p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(unadjusted rate ratio with 95% CI = 1.41 (1.39-1.43); adjusted rate ratio (1.34 (1.32-1.36))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  <w:trHeight w:hRule="exact" w:val="288"/>
        </w:trPr>
        <w:tc>
          <w:tcPr>
            <w:tcW w:w="13588" w:type="dxa"/>
            <w:gridSpan w:val="10"/>
            <w:vAlign w:val="center"/>
          </w:tcPr>
          <w:p w:rsidR="00CA7633" w:rsidRDefault="002E57F5">
            <w:pPr>
              <w:pStyle w:val="TableSubhead"/>
              <w:jc w:val="center"/>
            </w:pPr>
            <w:r w:rsidRPr="00BB022C">
              <w:t>Carbamazepine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Kauko, 1974a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Generic Carbamazepine (Laake Oy)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Kauko, 1974b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Generic Carbamazepine (Laake Oy)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Glende, 1983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(AWD Dresden)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Jumao-as, 1989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Generic Carbamazepine (Parke Davis)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Hartley, 1990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(Ethical Generics)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Hartley, 1991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(Ethical Generics)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Oles, 1992a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(Lemmon Co)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Oles 1992b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(Lemmon Co)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Reunanen, 1992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Retard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(Laakefarmos)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Silpakit, 1997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18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(Central Poly) Tablets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(Condrugs)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(Pharmaland)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Aldenkamp, 1998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(Ciba-Geigy)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Generic (Pharmachemie)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Generic (Pharbita)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Garnett, 2005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(Novartis)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275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Generic (Various/Unspecified) Tablets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705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LeLorier, 2008d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Tegretol CR (manufacturer not reported)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851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CR (manufacturer not reported)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  <w:trHeight w:hRule="exact" w:val="288"/>
        </w:trPr>
        <w:tc>
          <w:tcPr>
            <w:tcW w:w="13588" w:type="dxa"/>
            <w:gridSpan w:val="10"/>
            <w:vAlign w:val="center"/>
          </w:tcPr>
          <w:p w:rsidR="00CA7633" w:rsidRDefault="002E57F5">
            <w:pPr>
              <w:pStyle w:val="TableSubhead"/>
              <w:keepNext/>
              <w:keepLines/>
              <w:jc w:val="center"/>
            </w:pPr>
            <w:r w:rsidRPr="00BB022C">
              <w:t>Clobazam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Andermann, 2007b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Frisium (manufacturer not reported)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1600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Clobazam (manufacturers not reported)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LeLorier, 2008b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Frisium (manufacturer not reported)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1060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Clobazam (manufacturer not reported)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  <w:trHeight w:hRule="exact" w:val="288"/>
        </w:trPr>
        <w:tc>
          <w:tcPr>
            <w:tcW w:w="13588" w:type="dxa"/>
            <w:gridSpan w:val="10"/>
            <w:vAlign w:val="center"/>
          </w:tcPr>
          <w:p w:rsidR="00CA7633" w:rsidRDefault="002E57F5">
            <w:pPr>
              <w:pStyle w:val="TableSubhead"/>
              <w:jc w:val="center"/>
            </w:pPr>
            <w:r w:rsidRPr="00BB022C">
              <w:t>Gabapentin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LeLorier</w:t>
            </w:r>
            <w:r>
              <w:rPr>
                <w:sz w:val="18"/>
                <w:szCs w:val="18"/>
              </w:rPr>
              <w:t xml:space="preserve">, </w:t>
            </w:r>
            <w:r w:rsidRPr="00B66EF6">
              <w:rPr>
                <w:sz w:val="18"/>
                <w:szCs w:val="18"/>
              </w:rPr>
              <w:t>2008c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Neurontin (manufacturer not reported)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202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 (manufacturer not reported)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  <w:trHeight w:hRule="exact" w:val="288"/>
        </w:trPr>
        <w:tc>
          <w:tcPr>
            <w:tcW w:w="13588" w:type="dxa"/>
            <w:gridSpan w:val="10"/>
            <w:vAlign w:val="center"/>
          </w:tcPr>
          <w:p w:rsidR="00CA7633" w:rsidRDefault="002E57F5">
            <w:pPr>
              <w:pStyle w:val="TableSubhead"/>
              <w:keepNext/>
              <w:keepLines/>
              <w:pageBreakBefore/>
              <w:jc w:val="center"/>
            </w:pPr>
            <w:r w:rsidRPr="00BB022C">
              <w:lastRenderedPageBreak/>
              <w:t>Lamotrigine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Andermann</w:t>
            </w:r>
            <w:r>
              <w:rPr>
                <w:sz w:val="18"/>
                <w:szCs w:val="18"/>
              </w:rPr>
              <w:t xml:space="preserve">, </w:t>
            </w:r>
            <w:r w:rsidRPr="00B66EF6">
              <w:rPr>
                <w:sz w:val="18"/>
                <w:szCs w:val="18"/>
              </w:rPr>
              <w:t>2007a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Lamictal (GlaxoSmithKline)</w:t>
            </w:r>
          </w:p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1142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(manufacturers not reported)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LeLorier, 2008a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Lamictal (GlaxoSmithKline) 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449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8.24 visits per patient per year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0.49 visits per patient per year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3.29 days per patient per year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(manufacturer(s) not reported)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222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9.25 visits per patient per year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0.56 visits per patient per year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4.86 days per patient per year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Nielsen, 2008a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Lamictal (manufacturer not reported)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(Copyform, Hexal, Ratiofarm, Ratiopharm, Farma, Actavis, Stada)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7F0778" w:rsidTr="002E57F5">
        <w:trPr>
          <w:cantSplit/>
          <w:trHeight w:hRule="exact" w:val="288"/>
        </w:trPr>
        <w:tc>
          <w:tcPr>
            <w:tcW w:w="13588" w:type="dxa"/>
            <w:gridSpan w:val="10"/>
            <w:vAlign w:val="center"/>
          </w:tcPr>
          <w:p w:rsidR="00CA7633" w:rsidRDefault="002E57F5">
            <w:pPr>
              <w:pStyle w:val="TableSubhead"/>
              <w:jc w:val="center"/>
            </w:pPr>
            <w:r w:rsidRPr="00BB022C">
              <w:t>Levetiracetam,</w:t>
            </w:r>
            <w:r w:rsidR="00381735">
              <w:t xml:space="preserve"> </w:t>
            </w:r>
            <w:r w:rsidRPr="00B66EF6">
              <w:t>Oxcarbazepine,</w:t>
            </w:r>
            <w:r w:rsidR="00381735">
              <w:t xml:space="preserve"> </w:t>
            </w:r>
            <w:r w:rsidRPr="00B66EF6">
              <w:t>Phenobarbital or Primidone,</w:t>
            </w:r>
            <w:r w:rsidR="00381735">
              <w:t xml:space="preserve"> </w:t>
            </w:r>
            <w:r w:rsidRPr="00B66EF6">
              <w:t>Phenytoin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Lund, 1974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Epanutin (Parke-Davis) capsules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(Leo) capsules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  <w:trHeight w:val="143"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 xml:space="preserve">Chen, 1982 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Epanutin (Parke-Davis) capsules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18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(Boots)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(Cox)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(Kerfoot) tablet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(McCarthy UK)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Hodges, 1986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(Parke-Davis) capsules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(Boots)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(Evans)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Kishore, 1986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Dilantin (Parke-Davis, India) capsules 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Phenytoin (Epsolin, Cadila) tablets 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Phenytoin (Eptoin, Boots India) tablets 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(Epileptin, Indian Drugs and Pharmaceuticals) capsules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  <w:vertAlign w:val="superscript"/>
              </w:rPr>
            </w:pPr>
            <w:r w:rsidRPr="00B66EF6">
              <w:rPr>
                <w:sz w:val="18"/>
                <w:szCs w:val="18"/>
              </w:rPr>
              <w:lastRenderedPageBreak/>
              <w:t>Mikati 1992</w:t>
            </w:r>
            <w:r w:rsidRPr="00B66EF6">
              <w:rPr>
                <w:sz w:val="18"/>
                <w:szCs w:val="18"/>
                <w:vertAlign w:val="superscript"/>
              </w:rPr>
              <w:t>a</w:t>
            </w:r>
            <w:r w:rsidRPr="00B66E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b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Dilantin (Parke-Davis) capsules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b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(Phenytex, manufacturer not reported) capsules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Soryal 1992</w:t>
            </w:r>
            <w:r w:rsidRPr="00B66EF6">
              <w:rPr>
                <w:sz w:val="18"/>
                <w:szCs w:val="18"/>
                <w:vertAlign w:val="superscript"/>
              </w:rPr>
              <w:t>a</w:t>
            </w:r>
            <w:r w:rsidRPr="00B66E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Epanutin (Parke-Davis) capsules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(Evans)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(APS)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(Cox)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(Kerfoot)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 sodium (Regent) tablets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  <w:trHeight w:hRule="exact" w:val="288"/>
        </w:trPr>
        <w:tc>
          <w:tcPr>
            <w:tcW w:w="13588" w:type="dxa"/>
            <w:gridSpan w:val="10"/>
            <w:vAlign w:val="center"/>
          </w:tcPr>
          <w:p w:rsidR="00CA7633" w:rsidRDefault="002E57F5">
            <w:pPr>
              <w:pStyle w:val="TableSubhead"/>
              <w:jc w:val="center"/>
              <w:rPr>
                <w:color w:val="000000"/>
              </w:rPr>
            </w:pPr>
            <w:r w:rsidRPr="00BB022C">
              <w:t>Topiramate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Duh, 2009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Topamax (Ortho-McNeil)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875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9.07 outpatient visits/person-year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0.48 events/person-year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2.55 days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Topiramate (Various manufacturers) </w:t>
            </w:r>
            <w:r w:rsidRPr="00B66EF6">
              <w:rPr>
                <w:rFonts w:hint="eastAsia"/>
                <w:sz w:val="18"/>
                <w:szCs w:val="18"/>
              </w:rPr>
              <w:t>–</w:t>
            </w:r>
            <w:r w:rsidRPr="00B66EF6">
              <w:rPr>
                <w:sz w:val="18"/>
                <w:szCs w:val="18"/>
              </w:rPr>
              <w:t xml:space="preserve"> Single Product Users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331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9.48outpatient visits/person-year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0.52 events/person-year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3.22 days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Topiramate (Various manufacturers) </w:t>
            </w:r>
            <w:r w:rsidRPr="00B66EF6">
              <w:rPr>
                <w:rFonts w:hint="eastAsia"/>
                <w:sz w:val="18"/>
                <w:szCs w:val="18"/>
              </w:rPr>
              <w:t>–</w:t>
            </w:r>
            <w:r w:rsidRPr="00B66EF6">
              <w:rPr>
                <w:sz w:val="18"/>
                <w:szCs w:val="18"/>
              </w:rPr>
              <w:t xml:space="preserve"> Multiple Product Users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99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8.74 outpatient visits/person-year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0.83 events/person-year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3.88 days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Paradis, 2009</w:t>
            </w:r>
            <w:r w:rsidRPr="00B66EF6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Topamax (Ortho-McNeil)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9.0 outpatient visits/person-year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0.5 events/person-year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2.4 days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 (Various manufacturers)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9.1 outpatient visits/person-year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0.6 events/person-year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3.1 days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7F0778" w:rsidTr="002E57F5">
        <w:trPr>
          <w:cantSplit/>
          <w:trHeight w:hRule="exact" w:val="288"/>
        </w:trPr>
        <w:tc>
          <w:tcPr>
            <w:tcW w:w="13588" w:type="dxa"/>
            <w:gridSpan w:val="10"/>
            <w:vAlign w:val="center"/>
          </w:tcPr>
          <w:p w:rsidR="00CA7633" w:rsidRDefault="002E57F5">
            <w:pPr>
              <w:pStyle w:val="TableSubhead"/>
              <w:jc w:val="center"/>
            </w:pPr>
            <w:r w:rsidRPr="00BB022C">
              <w:t>Valproic Acid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Vadney, 1997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Depakene (Abbott)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64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 (Solvay)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 w:val="restart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Andermann, 2007c </w:t>
            </w: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Depakene (manufacturer not reported)</w:t>
            </w:r>
          </w:p>
        </w:tc>
        <w:tc>
          <w:tcPr>
            <w:tcW w:w="83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2017</w:t>
            </w: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2E57F5" w:rsidRPr="002A7D43" w:rsidTr="002E57F5">
        <w:trPr>
          <w:cantSplit/>
        </w:trPr>
        <w:tc>
          <w:tcPr>
            <w:tcW w:w="1539" w:type="dxa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A7633" w:rsidRDefault="002E57F5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 (manufacturers not reported)</w:t>
            </w:r>
          </w:p>
        </w:tc>
        <w:tc>
          <w:tcPr>
            <w:tcW w:w="838" w:type="dxa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735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vAlign w:val="center"/>
          </w:tcPr>
          <w:p w:rsidR="00CA7633" w:rsidRDefault="002E57F5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</w:tbl>
    <w:p w:rsidR="00732CC3" w:rsidRPr="00BB022C" w:rsidRDefault="00732CC3" w:rsidP="00732CC3">
      <w:pPr>
        <w:pStyle w:val="Legend"/>
        <w:rPr>
          <w:rFonts w:ascii="Times New Roman" w:hAnsi="Times New Roman" w:cs="Times New Roman"/>
        </w:rPr>
      </w:pPr>
      <w:r w:rsidRPr="00B66EF6">
        <w:rPr>
          <w:rFonts w:ascii="Times New Roman" w:hAnsi="Times New Roman" w:cs="Times New Roman"/>
          <w:vertAlign w:val="superscript"/>
        </w:rPr>
        <w:t>a</w:t>
      </w:r>
      <w:r w:rsidRPr="00B66EF6">
        <w:rPr>
          <w:rFonts w:ascii="Times New Roman" w:hAnsi="Times New Roman" w:cs="Times New Roman"/>
        </w:rPr>
        <w:t xml:space="preserve">Crossover </w:t>
      </w:r>
      <w:r>
        <w:rPr>
          <w:rFonts w:ascii="Times New Roman" w:hAnsi="Times New Roman" w:cs="Times New Roman"/>
        </w:rPr>
        <w:t>s</w:t>
      </w:r>
      <w:r w:rsidRPr="00B66EF6">
        <w:rPr>
          <w:rFonts w:ascii="Times New Roman" w:hAnsi="Times New Roman" w:cs="Times New Roman"/>
        </w:rPr>
        <w:t>tudy</w:t>
      </w:r>
    </w:p>
    <w:p w:rsidR="00732CC3" w:rsidRPr="00BB022C" w:rsidRDefault="00732CC3" w:rsidP="00732CC3">
      <w:pPr>
        <w:pStyle w:val="Legend"/>
        <w:rPr>
          <w:rFonts w:ascii="Times New Roman" w:hAnsi="Times New Roman" w:cs="Times New Roman"/>
        </w:rPr>
      </w:pPr>
      <w:r w:rsidRPr="00B66EF6">
        <w:rPr>
          <w:rFonts w:ascii="Times New Roman" w:hAnsi="Times New Roman" w:cs="Times New Roman"/>
          <w:vertAlign w:val="superscript"/>
        </w:rPr>
        <w:t>b</w:t>
      </w:r>
      <w:r w:rsidRPr="00B66EF6">
        <w:rPr>
          <w:rFonts w:ascii="Times New Roman" w:hAnsi="Times New Roman" w:cs="Times New Roman"/>
        </w:rPr>
        <w:t>Reports on same database as Duh 2009</w:t>
      </w:r>
    </w:p>
    <w:p w:rsidR="00732CC3" w:rsidRPr="00BB022C" w:rsidRDefault="00732CC3" w:rsidP="00732CC3">
      <w:pPr>
        <w:pStyle w:val="Legend"/>
        <w:rPr>
          <w:rFonts w:ascii="Times New Roman" w:hAnsi="Times New Roman" w:cs="Times New Roman"/>
        </w:rPr>
      </w:pPr>
      <w:r w:rsidRPr="00B66EF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not reported</w:t>
      </w:r>
      <w:r>
        <w:rPr>
          <w:rFonts w:ascii="Times New Roman" w:hAnsi="Times New Roman" w:cs="Times New Roman"/>
        </w:rPr>
        <w:t>;</w:t>
      </w:r>
      <w:r w:rsidRPr="00B66EF6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sample size; n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number of events; SD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standard deviation</w:t>
      </w:r>
    </w:p>
    <w:sectPr w:rsidR="00732CC3" w:rsidRPr="00BB022C" w:rsidSect="00CE13F3">
      <w:pgSz w:w="15840" w:h="12240" w:orient="landscape"/>
      <w:pgMar w:top="1440" w:right="1440" w:bottom="1440" w:left="1440" w:header="720" w:footer="66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99" w:rsidRDefault="00914899">
      <w:r>
        <w:separator/>
      </w:r>
    </w:p>
  </w:endnote>
  <w:endnote w:type="continuationSeparator" w:id="0">
    <w:p w:rsidR="00914899" w:rsidRDefault="0091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99" w:rsidRDefault="00914899">
      <w:r>
        <w:separator/>
      </w:r>
    </w:p>
  </w:footnote>
  <w:footnote w:type="continuationSeparator" w:id="0">
    <w:p w:rsidR="00914899" w:rsidRDefault="0091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4899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3F3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A013-7C10-4ED5-96D4-178F8426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7264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2012-01-28T06:20:00Z</dcterms:modified>
</cp:coreProperties>
</file>