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  <w:rPr>
          <w:bCs/>
        </w:rPr>
      </w:pPr>
      <w:r w:rsidRPr="006103E8">
        <w:t xml:space="preserve">Appendix Evidence Table </w:t>
      </w:r>
      <w:r w:rsidRPr="00C84BBA">
        <w:t>C</w:t>
      </w:r>
      <w:r>
        <w:t>44</w:t>
      </w:r>
      <w:r w:rsidRPr="006103E8">
        <w:t xml:space="preserve">. Overview of ACEI plus diuretic versus </w:t>
      </w:r>
      <w:r>
        <w:t xml:space="preserve">placebo </w:t>
      </w:r>
      <w:r w:rsidRPr="006103E8">
        <w:t>trial</w:t>
      </w:r>
    </w:p>
    <w:tbl>
      <w:tblPr>
        <w:tblW w:w="13343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970"/>
        <w:gridCol w:w="3690"/>
        <w:gridCol w:w="2970"/>
        <w:gridCol w:w="2345"/>
      </w:tblGrid>
      <w:tr w:rsidR="00283937" w:rsidRPr="006103E8" w:rsidTr="00A351BE">
        <w:trPr>
          <w:trHeight w:val="610"/>
        </w:trPr>
        <w:tc>
          <w:tcPr>
            <w:tcW w:w="1368" w:type="dxa"/>
            <w:vAlign w:val="center"/>
            <w:hideMark/>
          </w:tcPr>
          <w:p w:rsidR="00283937" w:rsidRPr="006103E8" w:rsidRDefault="00283937" w:rsidP="00A351BE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Study/Region/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Funding Source</w:t>
            </w:r>
          </w:p>
        </w:tc>
        <w:tc>
          <w:tcPr>
            <w:tcW w:w="2970" w:type="dxa"/>
            <w:vAlign w:val="center"/>
            <w:hideMark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Inclusion/Exclusion Criteria</w:t>
            </w:r>
          </w:p>
        </w:tc>
        <w:tc>
          <w:tcPr>
            <w:tcW w:w="3690" w:type="dxa"/>
            <w:vAlign w:val="center"/>
            <w:hideMark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Patient Characteristics (Expressed in means unless otherwise noted)</w:t>
            </w:r>
          </w:p>
        </w:tc>
        <w:tc>
          <w:tcPr>
            <w:tcW w:w="2970" w:type="dxa"/>
            <w:vAlign w:val="center"/>
            <w:hideMark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Intervention/Duration</w:t>
            </w:r>
          </w:p>
        </w:tc>
        <w:tc>
          <w:tcPr>
            <w:tcW w:w="2345" w:type="dxa"/>
            <w:vAlign w:val="center"/>
            <w:hideMark/>
          </w:tcPr>
          <w:p w:rsidR="00283937" w:rsidRPr="006103E8" w:rsidRDefault="00283937" w:rsidP="00A351BE">
            <w:pPr>
              <w:tabs>
                <w:tab w:val="left" w:pos="1193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Quality</w:t>
            </w:r>
          </w:p>
        </w:tc>
      </w:tr>
      <w:tr w:rsidR="00283937" w:rsidRPr="006103E8" w:rsidTr="00A351BE">
        <w:trPr>
          <w:trHeight w:val="1002"/>
        </w:trPr>
        <w:tc>
          <w:tcPr>
            <w:tcW w:w="1368" w:type="dxa"/>
            <w:shd w:val="clear" w:color="auto" w:fill="auto"/>
            <w:hideMark/>
          </w:tcPr>
          <w:p w:rsidR="00283937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Lambers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Heerspink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2010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PEVuZE5vdGU+PENpdGU+PEF1dGhvcj5MYW1iZXJzIEhlZXJzcGluazwvQXV0aG9yPjxZZWFyPjIw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PEVuZE5vdGU+PENpdGU+PEF1dGhvcj5MYW1iZXJzIEhlZXJzcGluazwvQXV0aG9yPjxZZWFyPjIw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51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ADVANCE Management Committee 2001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PEVuZE5vdGU+PENpdGUgRXhjbHVkZUF1dGg9IjEiPjxZZWFyPjIwMDE8L1llYXI+PFJlY051bT4z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PEVuZE5vdGU+PENpdGUgRXhjbHVkZUF1dGg9IjEiPjxZZWFyPjIwMDE8L1llYXI+PFJlY051bT4z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52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Country 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Multinational</w:t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Funding Source: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Industry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and Government</w:t>
            </w:r>
          </w:p>
        </w:tc>
        <w:tc>
          <w:tcPr>
            <w:tcW w:w="2970" w:type="dxa"/>
            <w:shd w:val="clear" w:color="auto" w:fill="auto"/>
            <w:hideMark/>
          </w:tcPr>
          <w:p w:rsidR="00283937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Inclusion: age 55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years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or older, diagnosed with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type 2 diabetes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at age 30 or older, evidence of elevated risk of cardiovascular disease (age 65 or older, diabetes diagnosed ≥ 10 years prior to entry, history of stroke or MI, hospital admission for TIA or unstable angina, coronary or peripheral revascularization, amputation secondary to vascular disease,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macroalbuminuria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proliferative retinopathy or retinal photocoagulation therapy, macular edema, blindness in one eye related to diabetes, other major risk factor [current smoking, total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cholesterosl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&gt;6.0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mmol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/l, HDL &lt;1.0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mmol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/l, or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microalbuminuria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])</w:t>
            </w:r>
          </w:p>
          <w:p w:rsidR="00283937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Exclusion: definite indication for long-term insulin therapy</w:t>
            </w:r>
          </w:p>
        </w:tc>
        <w:tc>
          <w:tcPr>
            <w:tcW w:w="3690" w:type="dxa"/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N=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10,640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(baseline results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below are for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n=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2,482 with CKD stage 1 or 2 and 2,044 with CKD stage 3)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Age (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yr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66.5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Gender (Male %):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52.6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Race/Ethnicity (%):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Weight: NR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BMI: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28.4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Systolic BP (mm Hg):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147.6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Diastolic BP (mm Hg):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81.0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CKD stage: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subgroup analysis for CKD stages 1-3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Serum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μmol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/L): NR</w:t>
            </w:r>
          </w:p>
          <w:p w:rsidR="00283937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clearance (mL/min):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eGFR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(mL/min): 70.7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Albuminuria (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μg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/min):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Albumin/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ratio (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/mg, median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48.1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HbA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1c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(%):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Total cholesterol (mg/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LDL cholesterol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mmol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/L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Diabetes (%): 100 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History of HTN (%):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74.6 (currently treated)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Dyslipidemia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History of CAD (%):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34.7 (major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macrovascular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disease)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History of CHF (%): NR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Peripheral arterial disease (%): NR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History of MI (%):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History of Stroke (%):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Current smoker (%): NR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History of AKI (%): NR</w:t>
            </w:r>
          </w:p>
        </w:tc>
        <w:tc>
          <w:tcPr>
            <w:tcW w:w="2970" w:type="dxa"/>
            <w:shd w:val="clear" w:color="auto" w:fill="auto"/>
            <w:hideMark/>
          </w:tcPr>
          <w:p w:rsidR="00283937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All subjects – 6 week run-in with 2 mg perindopril and 0.625 mg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indapamide</w:t>
            </w:r>
            <w:proofErr w:type="spellEnd"/>
          </w:p>
          <w:p w:rsidR="00283937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Those who were tolerant randomized to same dose or placebo; doses doubled after 3 months to 4 mg perindopril and 1.25 mg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indapamide</w:t>
            </w:r>
            <w:proofErr w:type="spellEnd"/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Comcomitant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treatment at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descretion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provider except that open-label perindopril to max of 4 mg/day was only ACEI allowed and thiazide (-like) diuretics were not permitted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 period: mean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4.3 years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withdrawals (%):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2345" w:type="dxa"/>
            <w:shd w:val="clear" w:color="auto" w:fill="auto"/>
            <w:hideMark/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Allocation Concealment: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Adequate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Blinding: Double</w:t>
            </w:r>
          </w:p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Intention to Treat Analysis (ITT):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NA-subgroup analysis 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br/>
              <w:t>Withdrawals/Dropouts adequately described: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NA-subgroup analysis</w:t>
            </w:r>
          </w:p>
        </w:tc>
      </w:tr>
    </w:tbl>
    <w:p w:rsidR="00500F11" w:rsidRDefault="00283937" w:rsidP="002F2AC9">
      <w:pPr>
        <w:pStyle w:val="TableNote"/>
      </w:pPr>
      <w:r w:rsidRPr="006103E8">
        <w:t>ACE</w:t>
      </w:r>
      <w:r>
        <w:t>I</w:t>
      </w:r>
      <w:r w:rsidRPr="006103E8">
        <w:t xml:space="preserve"> = </w:t>
      </w:r>
      <w:r>
        <w:t>a</w:t>
      </w:r>
      <w:r w:rsidRPr="006103E8">
        <w:t>ngiotensin converting enzyme inhibitor; ACR = albumin/</w:t>
      </w:r>
      <w:proofErr w:type="spellStart"/>
      <w:r w:rsidRPr="006103E8">
        <w:t>creatinine</w:t>
      </w:r>
      <w:proofErr w:type="spellEnd"/>
      <w:r w:rsidRPr="006103E8">
        <w:t xml:space="preserve"> ratio; AER = albumin excretion rate;</w:t>
      </w:r>
      <w:r>
        <w:t xml:space="preserve"> AKI = acute kidney injury; </w:t>
      </w:r>
      <w:r w:rsidRPr="006103E8">
        <w:t>ARB =</w:t>
      </w:r>
      <w:r>
        <w:t xml:space="preserve"> a</w:t>
      </w:r>
      <w:r w:rsidRPr="006103E8">
        <w:t>ngiotensin II receptor blocker;</w:t>
      </w:r>
      <w:r w:rsidRPr="00341411">
        <w:t xml:space="preserve"> </w:t>
      </w:r>
      <w:r>
        <w:t xml:space="preserve">BB = </w:t>
      </w:r>
      <w:proofErr w:type="spellStart"/>
      <w:r>
        <w:t>bete</w:t>
      </w:r>
      <w:proofErr w:type="spellEnd"/>
      <w:r>
        <w:t xml:space="preserve"> blocker; BMI = body mass index; </w:t>
      </w:r>
      <w:r w:rsidRPr="006103E8">
        <w:t xml:space="preserve">BP = blood pressure; CAD = coronary artery disease; CCB = </w:t>
      </w:r>
      <w:r w:rsidRPr="006103E8">
        <w:rPr>
          <w:color w:val="000000"/>
        </w:rPr>
        <w:t>calcium channel blocker</w:t>
      </w:r>
      <w:r w:rsidRPr="006103E8">
        <w:t xml:space="preserve">; CHD = coronary heart disease; CHF = </w:t>
      </w:r>
      <w:r>
        <w:rPr>
          <w:color w:val="000000"/>
        </w:rPr>
        <w:t>c</w:t>
      </w:r>
      <w:r w:rsidRPr="006103E8">
        <w:rPr>
          <w:color w:val="000000"/>
        </w:rPr>
        <w:t xml:space="preserve">ongestive </w:t>
      </w:r>
      <w:r>
        <w:rPr>
          <w:color w:val="000000"/>
        </w:rPr>
        <w:t>h</w:t>
      </w:r>
      <w:r w:rsidRPr="006103E8">
        <w:rPr>
          <w:color w:val="000000"/>
        </w:rPr>
        <w:t xml:space="preserve">eart </w:t>
      </w:r>
      <w:r>
        <w:rPr>
          <w:color w:val="000000"/>
        </w:rPr>
        <w:t>f</w:t>
      </w:r>
      <w:r w:rsidRPr="006103E8">
        <w:rPr>
          <w:color w:val="000000"/>
        </w:rPr>
        <w:t>ailure;</w:t>
      </w:r>
      <w:r>
        <w:rPr>
          <w:color w:val="000000"/>
        </w:rPr>
        <w:t xml:space="preserve"> CKD = chronic kidney disease; CV = cardiovascular; CVA = cerebrovascular accident; DBP = diastolic blood pressure; </w:t>
      </w:r>
      <w:r w:rsidRPr="006103E8">
        <w:rPr>
          <w:color w:val="292526"/>
        </w:rPr>
        <w:t xml:space="preserve">DM = </w:t>
      </w:r>
      <w:r w:rsidRPr="006103E8">
        <w:t xml:space="preserve">diabetes mellitus; </w:t>
      </w:r>
      <w:r>
        <w:t xml:space="preserve">GFR = glomerular filtration rate; HbA1c = hemoglobin A1c; HDL=high density lipoprotein cholesterol; </w:t>
      </w:r>
      <w:r w:rsidRPr="006103E8">
        <w:rPr>
          <w:color w:val="000000"/>
        </w:rPr>
        <w:t xml:space="preserve">HTN = </w:t>
      </w:r>
      <w:r>
        <w:rPr>
          <w:color w:val="000000"/>
        </w:rPr>
        <w:t xml:space="preserve">hypertension; </w:t>
      </w:r>
      <w:r w:rsidRPr="006103E8">
        <w:rPr>
          <w:color w:val="000000"/>
        </w:rPr>
        <w:t xml:space="preserve">LDL = </w:t>
      </w:r>
      <w:r>
        <w:rPr>
          <w:color w:val="000000"/>
        </w:rPr>
        <w:t>l</w:t>
      </w:r>
      <w:r w:rsidRPr="006103E8">
        <w:rPr>
          <w:color w:val="000000"/>
        </w:rPr>
        <w:t xml:space="preserve">ow density lipoprotein; </w:t>
      </w:r>
      <w:r>
        <w:rPr>
          <w:color w:val="000000"/>
        </w:rPr>
        <w:t xml:space="preserve">LVEF = left ventricular ejection fraction; </w:t>
      </w:r>
      <w:r w:rsidRPr="006103E8">
        <w:rPr>
          <w:color w:val="000000"/>
        </w:rPr>
        <w:t xml:space="preserve">MI = </w:t>
      </w:r>
      <w:r w:rsidRPr="006103E8">
        <w:rPr>
          <w:color w:val="292526"/>
        </w:rPr>
        <w:t>myocardial infarction;</w:t>
      </w:r>
      <w:r>
        <w:rPr>
          <w:color w:val="292526"/>
        </w:rPr>
        <w:t xml:space="preserve"> </w:t>
      </w:r>
      <w:r w:rsidRPr="006103E8">
        <w:rPr>
          <w:color w:val="292526"/>
        </w:rPr>
        <w:t xml:space="preserve">NR = not reported; </w:t>
      </w:r>
      <w:r w:rsidRPr="006103E8">
        <w:rPr>
          <w:color w:val="000000"/>
        </w:rPr>
        <w:t>NSAIDS</w:t>
      </w:r>
      <w:r w:rsidRPr="006103E8">
        <w:rPr>
          <w:color w:val="292526"/>
        </w:rPr>
        <w:t xml:space="preserve"> = </w:t>
      </w:r>
      <w:hyperlink r:id="rId12" w:history="1">
        <w:r>
          <w:t>n</w:t>
        </w:r>
        <w:r w:rsidRPr="006103E8">
          <w:t xml:space="preserve">on-steroidal anti-inflammatory drug; </w:t>
        </w:r>
      </w:hyperlink>
      <w:r w:rsidRPr="006103E8">
        <w:t>PVD = peripheral vascular disease;</w:t>
      </w:r>
      <w:r>
        <w:t xml:space="preserve"> RCT = randomized controlled trial; SBP = systolic blood pressure; TIA=transient ischemic attack; UACR = urinary albumin/</w:t>
      </w:r>
      <w:proofErr w:type="spellStart"/>
      <w:r>
        <w:t>creatinine</w:t>
      </w:r>
      <w:proofErr w:type="spellEnd"/>
      <w:r>
        <w:t xml:space="preserve"> ratio; </w:t>
      </w:r>
      <w:r w:rsidRPr="006103E8">
        <w:t>UAE = urinary albumin excretion</w:t>
      </w:r>
      <w:bookmarkStart w:id="0" w:name="_GoBack"/>
      <w:bookmarkEnd w:id="0"/>
    </w:p>
    <w:sectPr w:rsidR="00500F11" w:rsidSect="00500F11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27" w:rsidRDefault="00A53D27">
      <w:r>
        <w:separator/>
      </w:r>
    </w:p>
  </w:endnote>
  <w:endnote w:type="continuationSeparator" w:id="0">
    <w:p w:rsidR="00A53D27" w:rsidRDefault="00A5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27" w:rsidRDefault="00A53D27">
      <w:r>
        <w:separator/>
      </w:r>
    </w:p>
  </w:footnote>
  <w:footnote w:type="continuationSeparator" w:id="0">
    <w:p w:rsidR="00A53D27" w:rsidRDefault="00A5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0F11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3D27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en.wikipedia.org/wiki/Non-steroidal_anti-inflammatory_dru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9C0A792-7FF5-4ED9-9806-BAC4DCF7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3624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