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C21. Composite vascular outcome definitions for ACEI plus ARB versus ACEI or ARB trials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283937" w:rsidRPr="006103E8" w:rsidTr="00A351BE">
        <w:tc>
          <w:tcPr>
            <w:tcW w:w="20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4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2088" w:type="dxa"/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Tobe</w:t>
            </w:r>
            <w:proofErr w:type="spellEnd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ON-TARGET</w:t>
            </w:r>
          </w:p>
        </w:tc>
        <w:tc>
          <w:tcPr>
            <w:tcW w:w="7488" w:type="dxa"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Cardiovascular death, MI, fatal or nonfatal stroke, or hospitalization for heart failure.</w:t>
            </w:r>
          </w:p>
        </w:tc>
      </w:tr>
      <w:tr w:rsidR="00283937" w:rsidRPr="006103E8" w:rsidTr="00A351BE">
        <w:tc>
          <w:tcPr>
            <w:tcW w:w="208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Anand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88" w:type="dxa"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Death, sudden death with resuscitation, hospitalization for heart failure, or administration of intravenous inotropic or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vasolilator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drugs for 4 hours or more without hospitalization</w:t>
            </w:r>
          </w:p>
        </w:tc>
      </w:tr>
    </w:tbl>
    <w:p w:rsidR="00E31394" w:rsidRDefault="00283937">
      <w:pPr>
        <w:pStyle w:val="TableNote"/>
      </w:pPr>
      <w:r w:rsidRPr="006103E8">
        <w:t xml:space="preserve">ACEI = angiotensin converting enzyme; ARB = angiotensin receptor blocker </w:t>
      </w:r>
      <w:bookmarkStart w:id="0" w:name="_GoBack"/>
      <w:bookmarkEnd w:id="0"/>
    </w:p>
    <w:sectPr w:rsidR="00E31394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00" w:rsidRDefault="00BE5800">
      <w:r>
        <w:separator/>
      </w:r>
    </w:p>
  </w:endnote>
  <w:endnote w:type="continuationSeparator" w:id="0">
    <w:p w:rsidR="00BE5800" w:rsidRDefault="00B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00" w:rsidRDefault="00BE5800">
      <w:r>
        <w:separator/>
      </w:r>
    </w:p>
  </w:footnote>
  <w:footnote w:type="continuationSeparator" w:id="0">
    <w:p w:rsidR="00BE5800" w:rsidRDefault="00BE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75177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58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16078F-9967-4857-91F9-DD95402A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2328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