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FB40E5">
      <w:pPr>
        <w:pStyle w:val="TableTitle"/>
      </w:pPr>
      <w:r w:rsidRPr="006103E8">
        <w:t>Appendix Table C</w:t>
      </w:r>
      <w:r>
        <w:t>122</w:t>
      </w:r>
      <w:r w:rsidRPr="006103E8">
        <w:t>. Clinical renal outcomes (outcomes part C), glycemic control trials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00"/>
        <w:gridCol w:w="997"/>
        <w:gridCol w:w="997"/>
        <w:gridCol w:w="1087"/>
        <w:gridCol w:w="998"/>
        <w:gridCol w:w="1087"/>
        <w:gridCol w:w="997"/>
        <w:gridCol w:w="1087"/>
        <w:gridCol w:w="997"/>
        <w:gridCol w:w="939"/>
      </w:tblGrid>
      <w:tr w:rsidR="00283937" w:rsidRPr="006103E8" w:rsidTr="00A351BE">
        <w:tc>
          <w:tcPr>
            <w:tcW w:w="16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 Stage Renal Disease, n/N (%)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Micro-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(%)</w:t>
            </w:r>
          </w:p>
        </w:tc>
      </w:tr>
      <w:tr w:rsidR="00283937" w:rsidRPr="006103E8" w:rsidTr="00A351BE">
        <w:tc>
          <w:tcPr>
            <w:tcW w:w="163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</w:tr>
      <w:tr w:rsidR="00283937" w:rsidRPr="006103E8" w:rsidTr="00A351BE">
        <w:tc>
          <w:tcPr>
            <w:tcW w:w="16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Duckworth,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19/251 (7.6)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29/240 (12.1)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Microalbuminuria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Collaborative,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6/36 (16.7)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(17.6)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6103E8" w:rsidRDefault="00283937" w:rsidP="00FB40E5">
      <w:pPr>
        <w:pStyle w:val="TableNote"/>
      </w:pPr>
      <w:r w:rsidRPr="006103E8">
        <w:t>GFR = glomerular filtration rate; IT = intensive treatment; CT = conventional treatment</w:t>
      </w:r>
      <w:bookmarkStart w:id="0" w:name="_GoBack"/>
      <w:bookmarkEnd w:id="0"/>
    </w:p>
    <w:sectPr w:rsidR="00283937" w:rsidRPr="006103E8" w:rsidSect="00CE1D9D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EC" w:rsidRDefault="002958EC">
      <w:r>
        <w:separator/>
      </w:r>
    </w:p>
  </w:endnote>
  <w:endnote w:type="continuationSeparator" w:id="0">
    <w:p w:rsidR="002958EC" w:rsidRDefault="0029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EC" w:rsidRDefault="002958EC">
      <w:r>
        <w:separator/>
      </w:r>
    </w:p>
  </w:footnote>
  <w:footnote w:type="continuationSeparator" w:id="0">
    <w:p w:rsidR="002958EC" w:rsidRDefault="0029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58EC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1D9D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9E8599-65EE-4791-B92E-28F6679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607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