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bookmarkStart w:id="0" w:name="_GoBack"/>
      <w:bookmarkEnd w:id="0"/>
      <w:r>
        <w:t>Appendix Table C101</w:t>
      </w:r>
      <w:r w:rsidRPr="006103E8">
        <w:t xml:space="preserve">. Composite </w:t>
      </w:r>
      <w:r>
        <w:t xml:space="preserve">vascular </w:t>
      </w:r>
      <w:r w:rsidRPr="006103E8">
        <w:t>outcome definitions, CCB</w:t>
      </w:r>
      <w:r w:rsidRPr="006103E8">
        <w:rPr>
          <w:bCs/>
        </w:rPr>
        <w:t xml:space="preserve"> versus diuretic trial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283937" w:rsidRPr="006103E8" w:rsidTr="00A351BE">
        <w:tc>
          <w:tcPr>
            <w:tcW w:w="172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84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172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48" w:type="dxa"/>
          </w:tcPr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(A) </w:t>
            </w:r>
            <w:r>
              <w:rPr>
                <w:rFonts w:ascii="Arial" w:hAnsi="Arial" w:cs="Arial"/>
                <w:sz w:val="18"/>
                <w:szCs w:val="18"/>
              </w:rPr>
              <w:t>CHD, defined as n</w:t>
            </w:r>
            <w:r w:rsidRPr="006103E8">
              <w:rPr>
                <w:rFonts w:ascii="Arial" w:hAnsi="Arial" w:cs="Arial"/>
                <w:sz w:val="18"/>
                <w:szCs w:val="18"/>
              </w:rPr>
              <w:t>onfatal MI and f</w:t>
            </w:r>
            <w:r>
              <w:rPr>
                <w:rFonts w:ascii="Arial" w:hAnsi="Arial" w:cs="Arial"/>
                <w:sz w:val="18"/>
                <w:szCs w:val="18"/>
              </w:rPr>
              <w:t>atal CHD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(B) Combined CVD, defined as CHD death, </w:t>
            </w:r>
            <w:r w:rsidRPr="006103E8">
              <w:rPr>
                <w:rFonts w:ascii="Arial" w:hAnsi="Arial" w:cs="Arial"/>
                <w:sz w:val="18"/>
                <w:szCs w:val="18"/>
              </w:rPr>
              <w:t>nonfatal MI, coronary revascularization, hospitalized or treated angina, stroke, treated or hospitalized heart failure, a</w:t>
            </w:r>
            <w:r>
              <w:rPr>
                <w:rFonts w:ascii="Arial" w:hAnsi="Arial" w:cs="Arial"/>
                <w:sz w:val="18"/>
                <w:szCs w:val="18"/>
              </w:rPr>
              <w:t>nd peripheral arterial disease (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hospitalized </w:t>
            </w:r>
            <w:r>
              <w:rPr>
                <w:rFonts w:ascii="Arial" w:hAnsi="Arial" w:cs="Arial"/>
                <w:sz w:val="18"/>
                <w:szCs w:val="18"/>
              </w:rPr>
              <w:t>or outpatient revascularization</w:t>
            </w:r>
            <w:r w:rsidRPr="006103E8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E31394" w:rsidRDefault="00283937">
      <w:pPr>
        <w:pStyle w:val="TableNote"/>
      </w:pPr>
      <w:r w:rsidRPr="006103E8">
        <w:t xml:space="preserve">CCB = calcium channel blocker; </w:t>
      </w:r>
      <w:r>
        <w:t xml:space="preserve">CHD = coronary heart </w:t>
      </w:r>
      <w:proofErr w:type="spellStart"/>
      <w:r>
        <w:t>diease</w:t>
      </w:r>
      <w:proofErr w:type="spellEnd"/>
      <w:r>
        <w:t>; CVD = cardiovascular disease; MI = myocardial infarction</w:t>
      </w:r>
    </w:p>
    <w:sectPr w:rsidR="00E31394" w:rsidSect="00343382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94" w:rsidRDefault="00864E94">
      <w:r>
        <w:separator/>
      </w:r>
    </w:p>
  </w:endnote>
  <w:endnote w:type="continuationSeparator" w:id="0">
    <w:p w:rsidR="00864E94" w:rsidRDefault="008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94" w:rsidRDefault="00864E94">
      <w:r>
        <w:separator/>
      </w:r>
    </w:p>
  </w:footnote>
  <w:footnote w:type="continuationSeparator" w:id="0">
    <w:p w:rsidR="00864E94" w:rsidRDefault="0086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382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64E94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D82E98-97A6-4BAB-9632-87E3CE71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566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