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14D1D" w14:textId="25737A11" w:rsidR="00255BCA" w:rsidRDefault="00255BCA" w:rsidP="005D722D">
      <w:pPr>
        <w:pStyle w:val="TableTitle"/>
      </w:pPr>
      <w:bookmarkStart w:id="0" w:name="_GoBack"/>
      <w:bookmarkEnd w:id="0"/>
      <w:proofErr w:type="gramStart"/>
      <w:r w:rsidRPr="00EB17DC">
        <w:t>Evidence Table</w:t>
      </w:r>
      <w:r>
        <w:t xml:space="preserve"> </w:t>
      </w:r>
      <w:r w:rsidR="00915ED6">
        <w:t>D-</w:t>
      </w:r>
      <w:r>
        <w:t>44</w:t>
      </w:r>
      <w:r w:rsidRPr="00EB17DC">
        <w:t>.</w:t>
      </w:r>
      <w:proofErr w:type="gramEnd"/>
      <w:r w:rsidRPr="00EB17DC">
        <w:t xml:space="preserve"> </w:t>
      </w:r>
      <w:r>
        <w:t>Incidence of delirium outcomes for studies comparing interventions</w:t>
      </w:r>
      <w:r w:rsidRPr="009B4923">
        <w:t xml:space="preserve"> to </w:t>
      </w:r>
      <w:r>
        <w:t>treat delirium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2"/>
        <w:gridCol w:w="1674"/>
        <w:gridCol w:w="2165"/>
        <w:gridCol w:w="1873"/>
        <w:gridCol w:w="1873"/>
        <w:gridCol w:w="2017"/>
        <w:gridCol w:w="2240"/>
        <w:gridCol w:w="1803"/>
        <w:gridCol w:w="1873"/>
      </w:tblGrid>
      <w:tr w:rsidR="00255BCA" w:rsidRPr="0046647C" w14:paraId="55DA8C72" w14:textId="77777777" w:rsidTr="00E21281">
        <w:trPr>
          <w:cantSplit/>
          <w:trHeight w:val="600"/>
          <w:tblHeader/>
        </w:trPr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B153F60" w14:textId="77777777" w:rsidR="00255BCA" w:rsidRPr="0046647C" w:rsidRDefault="00255BCA" w:rsidP="005D722D">
            <w:pPr>
              <w:pStyle w:val="TableColumnHead"/>
            </w:pPr>
            <w:r w:rsidRPr="0046647C">
              <w:t>Author, year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92D0232" w14:textId="77777777" w:rsidR="00255BCA" w:rsidRPr="0046647C" w:rsidRDefault="00255BCA" w:rsidP="005D722D">
            <w:pPr>
              <w:pStyle w:val="TableColumnHead"/>
            </w:pPr>
            <w:r w:rsidRPr="0046647C">
              <w:t>Population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EB9F41B" w14:textId="77777777" w:rsidR="00255BCA" w:rsidRPr="0046647C" w:rsidRDefault="00255BCA" w:rsidP="005D722D">
            <w:pPr>
              <w:pStyle w:val="TableColumnHead"/>
            </w:pPr>
            <w:r w:rsidRPr="0046647C">
              <w:t>Intervention group, n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ED695A2" w14:textId="77777777" w:rsidR="00255BCA" w:rsidRPr="0046647C" w:rsidRDefault="00255BCA" w:rsidP="005D722D">
            <w:pPr>
              <w:pStyle w:val="TableColumnHead"/>
            </w:pPr>
            <w:r w:rsidRPr="0046647C">
              <w:t>Control group, n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937625C" w14:textId="77777777" w:rsidR="00255BCA" w:rsidRPr="0046647C" w:rsidRDefault="00255BCA" w:rsidP="005D722D">
            <w:pPr>
              <w:pStyle w:val="TableColumnHead"/>
            </w:pPr>
            <w:r w:rsidRPr="0046647C">
              <w:t>Route of administration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CC53CAA" w14:textId="77777777" w:rsidR="00255BCA" w:rsidRPr="0046647C" w:rsidRDefault="00255BCA" w:rsidP="005D722D">
            <w:pPr>
              <w:pStyle w:val="TableColumnHead"/>
            </w:pPr>
            <w:r w:rsidRPr="0046647C">
              <w:t>Outcome definition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5B5060C" w14:textId="77777777" w:rsidR="00255BCA" w:rsidRPr="0046647C" w:rsidRDefault="00255BCA" w:rsidP="005D722D">
            <w:pPr>
              <w:pStyle w:val="TableColumnHead"/>
            </w:pPr>
            <w:r w:rsidRPr="0046647C">
              <w:t>n / N (%), intervention group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CB5CE5B" w14:textId="77777777" w:rsidR="00255BCA" w:rsidRPr="0046647C" w:rsidRDefault="00255BCA" w:rsidP="005D722D">
            <w:pPr>
              <w:pStyle w:val="TableColumnHead"/>
            </w:pPr>
            <w:r w:rsidRPr="0046647C">
              <w:t>n / N (%), control group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5BA444A" w14:textId="77777777" w:rsidR="00255BCA" w:rsidRPr="0046647C" w:rsidRDefault="00255BCA" w:rsidP="005D722D">
            <w:pPr>
              <w:pStyle w:val="TableColumnHead"/>
            </w:pPr>
            <w:r w:rsidRPr="0046647C">
              <w:t>Relative risk (95% CI)</w:t>
            </w:r>
          </w:p>
        </w:tc>
      </w:tr>
      <w:tr w:rsidR="00255BCA" w:rsidRPr="0046647C" w14:paraId="0D87CFBB" w14:textId="77777777" w:rsidTr="00E21281">
        <w:trPr>
          <w:cantSplit/>
          <w:trHeight w:val="962"/>
        </w:trPr>
        <w:tc>
          <w:tcPr>
            <w:tcW w:w="1752" w:type="dxa"/>
            <w:tcBorders>
              <w:right w:val="nil"/>
            </w:tcBorders>
            <w:shd w:val="clear" w:color="auto" w:fill="auto"/>
          </w:tcPr>
          <w:p w14:paraId="3C4AC8C8" w14:textId="77777777" w:rsidR="00255BCA" w:rsidRPr="0046647C" w:rsidRDefault="00255BCA" w:rsidP="005D722D">
            <w:pPr>
              <w:pStyle w:val="TableText"/>
            </w:pPr>
            <w:r w:rsidRPr="0046647C">
              <w:t>Second-generation antipsychotic vs. placebo</w:t>
            </w:r>
          </w:p>
        </w:tc>
        <w:tc>
          <w:tcPr>
            <w:tcW w:w="1674" w:type="dxa"/>
            <w:tcBorders>
              <w:left w:val="nil"/>
              <w:right w:val="nil"/>
            </w:tcBorders>
            <w:shd w:val="clear" w:color="auto" w:fill="auto"/>
          </w:tcPr>
          <w:p w14:paraId="1C05728E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2165" w:type="dxa"/>
            <w:tcBorders>
              <w:left w:val="nil"/>
              <w:right w:val="nil"/>
            </w:tcBorders>
            <w:shd w:val="clear" w:color="auto" w:fill="auto"/>
          </w:tcPr>
          <w:p w14:paraId="18087985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1873" w:type="dxa"/>
            <w:tcBorders>
              <w:left w:val="nil"/>
              <w:right w:val="nil"/>
            </w:tcBorders>
            <w:shd w:val="clear" w:color="auto" w:fill="auto"/>
          </w:tcPr>
          <w:p w14:paraId="182AA52E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1873" w:type="dxa"/>
            <w:tcBorders>
              <w:left w:val="nil"/>
              <w:right w:val="nil"/>
            </w:tcBorders>
            <w:shd w:val="clear" w:color="auto" w:fill="auto"/>
          </w:tcPr>
          <w:p w14:paraId="370FA297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2017" w:type="dxa"/>
            <w:tcBorders>
              <w:left w:val="nil"/>
              <w:right w:val="nil"/>
            </w:tcBorders>
            <w:shd w:val="clear" w:color="auto" w:fill="auto"/>
          </w:tcPr>
          <w:p w14:paraId="6DDD3C44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2240" w:type="dxa"/>
            <w:tcBorders>
              <w:left w:val="nil"/>
              <w:right w:val="nil"/>
            </w:tcBorders>
            <w:shd w:val="clear" w:color="auto" w:fill="auto"/>
          </w:tcPr>
          <w:p w14:paraId="5B5DEC7F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1803" w:type="dxa"/>
            <w:tcBorders>
              <w:left w:val="nil"/>
              <w:right w:val="nil"/>
            </w:tcBorders>
            <w:shd w:val="clear" w:color="auto" w:fill="auto"/>
          </w:tcPr>
          <w:p w14:paraId="3D469E47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1873" w:type="dxa"/>
            <w:tcBorders>
              <w:left w:val="nil"/>
            </w:tcBorders>
            <w:shd w:val="clear" w:color="auto" w:fill="auto"/>
          </w:tcPr>
          <w:p w14:paraId="5932D0F9" w14:textId="77777777" w:rsidR="00255BCA" w:rsidRPr="0046647C" w:rsidRDefault="00255BCA" w:rsidP="005D722D">
            <w:pPr>
              <w:pStyle w:val="TableText"/>
            </w:pPr>
          </w:p>
        </w:tc>
      </w:tr>
      <w:tr w:rsidR="00255BCA" w:rsidRPr="0046647C" w14:paraId="440E4A6A" w14:textId="77777777" w:rsidTr="00E21281">
        <w:trPr>
          <w:cantSplit/>
          <w:trHeight w:val="2400"/>
        </w:trPr>
        <w:tc>
          <w:tcPr>
            <w:tcW w:w="1752" w:type="dxa"/>
            <w:shd w:val="clear" w:color="auto" w:fill="auto"/>
            <w:hideMark/>
          </w:tcPr>
          <w:p w14:paraId="2E38E24C" w14:textId="77777777" w:rsidR="00255BCA" w:rsidRPr="0046647C" w:rsidRDefault="00255BCA" w:rsidP="005D722D">
            <w:pPr>
              <w:pStyle w:val="TableText"/>
            </w:pPr>
            <w:r w:rsidRPr="0046647C">
              <w:t>Devlin, 2010</w:t>
            </w:r>
            <w:hyperlink w:anchor="_ENREF_26" w:tooltip="Devlin, 2010 #1492" w:history="1">
              <w:r>
                <w:fldChar w:fldCharType="begin">
                  <w:fldData xml:space="preserve">PEVuZE5vdGU+PENpdGU+PEF1dGhvcj5EZXZsaW48L0F1dGhvcj48WWVhcj4yMDEwPC9ZZWFyPjxS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PEVuZE5vdGU+PENpdGU+PEF1dGhvcj5EZXZsaW48L0F1dGhvcj48WWVhcj4yMDEwPC9ZZWFyPjxS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26</w:t>
              </w:r>
              <w:r>
                <w:fldChar w:fldCharType="end"/>
              </w:r>
            </w:hyperlink>
          </w:p>
        </w:tc>
        <w:tc>
          <w:tcPr>
            <w:tcW w:w="1674" w:type="dxa"/>
            <w:shd w:val="clear" w:color="auto" w:fill="auto"/>
            <w:hideMark/>
          </w:tcPr>
          <w:p w14:paraId="574E3B46" w14:textId="77777777" w:rsidR="00255BCA" w:rsidRPr="0046647C" w:rsidRDefault="00255BCA" w:rsidP="005D722D">
            <w:pPr>
              <w:pStyle w:val="TableText"/>
            </w:pPr>
            <w:r w:rsidRPr="0046647C">
              <w:t>Patients admitted to Medical &amp; Surgical ICU with delirium.</w:t>
            </w:r>
          </w:p>
        </w:tc>
        <w:tc>
          <w:tcPr>
            <w:tcW w:w="2165" w:type="dxa"/>
            <w:shd w:val="clear" w:color="auto" w:fill="auto"/>
            <w:hideMark/>
          </w:tcPr>
          <w:p w14:paraId="6F44D913" w14:textId="77777777" w:rsidR="00255BCA" w:rsidRPr="0046647C" w:rsidRDefault="00255BCA" w:rsidP="005D722D">
            <w:pPr>
              <w:pStyle w:val="TableText"/>
            </w:pPr>
            <w:r w:rsidRPr="0046647C">
              <w:t xml:space="preserve">Quetiapine (Mean dose: 50 Median dose: 110 (88-191 IQR) Max dose: 200 Dose range: 50 to 200mg), </w:t>
            </w:r>
            <w:r>
              <w:t>18</w:t>
            </w:r>
          </w:p>
        </w:tc>
        <w:tc>
          <w:tcPr>
            <w:tcW w:w="1873" w:type="dxa"/>
            <w:shd w:val="clear" w:color="auto" w:fill="auto"/>
            <w:hideMark/>
          </w:tcPr>
          <w:p w14:paraId="3F489647" w14:textId="77777777" w:rsidR="00255BCA" w:rsidRPr="0046647C" w:rsidRDefault="00255BCA" w:rsidP="005D722D">
            <w:pPr>
              <w:pStyle w:val="TableText"/>
            </w:pPr>
            <w:r w:rsidRPr="0046647C">
              <w:t xml:space="preserve">Placebo (Mean dose: 50 Median dose: 210 (116 - 293) Max dose: 200mg), </w:t>
            </w:r>
            <w:r>
              <w:t>18</w:t>
            </w:r>
          </w:p>
        </w:tc>
        <w:tc>
          <w:tcPr>
            <w:tcW w:w="1873" w:type="dxa"/>
            <w:shd w:val="clear" w:color="auto" w:fill="auto"/>
            <w:hideMark/>
          </w:tcPr>
          <w:p w14:paraId="5EB9FCAE" w14:textId="77777777" w:rsidR="00255BCA" w:rsidRPr="0046647C" w:rsidRDefault="00255BCA" w:rsidP="005D722D">
            <w:pPr>
              <w:pStyle w:val="TableText"/>
            </w:pPr>
            <w:r>
              <w:t>Either orally or NG tube</w:t>
            </w:r>
          </w:p>
        </w:tc>
        <w:tc>
          <w:tcPr>
            <w:tcW w:w="2017" w:type="dxa"/>
            <w:shd w:val="clear" w:color="auto" w:fill="auto"/>
            <w:hideMark/>
          </w:tcPr>
          <w:p w14:paraId="201F85B7" w14:textId="77777777" w:rsidR="00255BCA" w:rsidRPr="0046647C" w:rsidRDefault="00255BCA" w:rsidP="005D722D">
            <w:pPr>
              <w:pStyle w:val="TableText"/>
            </w:pPr>
            <w:r w:rsidRPr="0046647C">
              <w:t xml:space="preserve">Delirium in the 14-day period after study drug discontinued, or until subject discharged/transferred from hospital. </w:t>
            </w:r>
          </w:p>
        </w:tc>
        <w:tc>
          <w:tcPr>
            <w:tcW w:w="2240" w:type="dxa"/>
            <w:shd w:val="clear" w:color="auto" w:fill="auto"/>
            <w:hideMark/>
          </w:tcPr>
          <w:p w14:paraId="74598389" w14:textId="77777777" w:rsidR="00255BCA" w:rsidRPr="0046647C" w:rsidRDefault="00255BCA" w:rsidP="005D722D">
            <w:pPr>
              <w:pStyle w:val="TableText"/>
            </w:pPr>
            <w:r w:rsidRPr="0046647C">
              <w:t>4 / 18 (20%)</w:t>
            </w:r>
          </w:p>
        </w:tc>
        <w:tc>
          <w:tcPr>
            <w:tcW w:w="1803" w:type="dxa"/>
            <w:shd w:val="clear" w:color="auto" w:fill="auto"/>
            <w:hideMark/>
          </w:tcPr>
          <w:p w14:paraId="2918189B" w14:textId="77777777" w:rsidR="00255BCA" w:rsidRPr="0046647C" w:rsidRDefault="00255BCA" w:rsidP="005D722D">
            <w:pPr>
              <w:pStyle w:val="TableText"/>
            </w:pPr>
            <w:r w:rsidRPr="0046647C">
              <w:t>10 / 18 (56%)</w:t>
            </w:r>
          </w:p>
        </w:tc>
        <w:tc>
          <w:tcPr>
            <w:tcW w:w="1873" w:type="dxa"/>
            <w:shd w:val="clear" w:color="auto" w:fill="auto"/>
            <w:hideMark/>
          </w:tcPr>
          <w:p w14:paraId="1C74B346" w14:textId="77777777" w:rsidR="00255BCA" w:rsidRPr="0046647C" w:rsidRDefault="00255BCA" w:rsidP="005D722D">
            <w:pPr>
              <w:pStyle w:val="TableText"/>
            </w:pPr>
            <w:r w:rsidRPr="0046647C">
              <w:t>0.40 (0.15 to 1.04)</w:t>
            </w:r>
          </w:p>
        </w:tc>
      </w:tr>
    </w:tbl>
    <w:p w14:paraId="73499102" w14:textId="77777777" w:rsidR="00255BCA" w:rsidRDefault="00255BCA" w:rsidP="005D722D">
      <w:pPr>
        <w:pStyle w:val="TableNote"/>
      </w:pPr>
      <w:r>
        <w:t>CI=confidence interval; ICU=intensive care unit; IQR=interquartile range; mg=milligram; N=sample size; NG=nadogastric tube</w:t>
      </w:r>
    </w:p>
    <w:p w14:paraId="684CE506" w14:textId="77777777" w:rsidR="00255BCA" w:rsidRDefault="00255BCA" w:rsidP="00255BCA">
      <w:pPr>
        <w:pStyle w:val="NoSpacing"/>
        <w:contextualSpacing/>
      </w:pPr>
    </w:p>
    <w:p w14:paraId="68FAF536" w14:textId="77777777" w:rsidR="00255BCA" w:rsidRDefault="00255BCA" w:rsidP="00255BCA">
      <w:pPr>
        <w:pStyle w:val="NoSpacing"/>
        <w:contextualSpacing/>
      </w:pPr>
    </w:p>
    <w:sectPr w:rsidR="00255BCA" w:rsidSect="00255BCA">
      <w:footerReference w:type="default" r:id="rId8"/>
      <w:type w:val="continuous"/>
      <w:pgSz w:w="20160" w:h="12240" w:orient="landscape" w:code="5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D014F" w14:textId="77777777" w:rsidR="00E21281" w:rsidRDefault="00E21281" w:rsidP="007B7E56">
      <w:r>
        <w:separator/>
      </w:r>
    </w:p>
  </w:endnote>
  <w:endnote w:type="continuationSeparator" w:id="0">
    <w:p w14:paraId="74A5BC5E" w14:textId="77777777" w:rsidR="00E21281" w:rsidRDefault="00E21281" w:rsidP="007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962B9" w14:textId="1F1AB8FD" w:rsidR="000E4222" w:rsidRDefault="000E4222" w:rsidP="000E4222">
    <w:pPr>
      <w:pStyle w:val="Footer"/>
      <w:jc w:val="center"/>
    </w:pPr>
    <w:r>
      <w:t>D-114</w:t>
    </w:r>
  </w:p>
  <w:p w14:paraId="723FFA46" w14:textId="77777777" w:rsidR="000E4222" w:rsidRDefault="000E42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28716" w14:textId="77777777" w:rsidR="00E21281" w:rsidRDefault="00E21281" w:rsidP="007B7E56">
      <w:r>
        <w:separator/>
      </w:r>
    </w:p>
  </w:footnote>
  <w:footnote w:type="continuationSeparator" w:id="0">
    <w:p w14:paraId="74E51E73" w14:textId="77777777" w:rsidR="00E21281" w:rsidRDefault="00E21281" w:rsidP="007B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81EAB"/>
    <w:multiLevelType w:val="hybridMultilevel"/>
    <w:tmpl w:val="B10CC81C"/>
    <w:lvl w:ilvl="0" w:tplc="D0D0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32A8B"/>
    <w:multiLevelType w:val="hybridMultilevel"/>
    <w:tmpl w:val="A9D0171E"/>
    <w:lvl w:ilvl="0" w:tplc="2F0AE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94"/>
    <w:rsid w:val="0002107F"/>
    <w:rsid w:val="000258D9"/>
    <w:rsid w:val="00075057"/>
    <w:rsid w:val="00080DE6"/>
    <w:rsid w:val="000926ED"/>
    <w:rsid w:val="00097934"/>
    <w:rsid w:val="000A2C27"/>
    <w:rsid w:val="000A378F"/>
    <w:rsid w:val="000B591B"/>
    <w:rsid w:val="000C1845"/>
    <w:rsid w:val="000C2709"/>
    <w:rsid w:val="000E4222"/>
    <w:rsid w:val="000E4DF4"/>
    <w:rsid w:val="000F5D77"/>
    <w:rsid w:val="001103B5"/>
    <w:rsid w:val="00111E15"/>
    <w:rsid w:val="0012150A"/>
    <w:rsid w:val="00141400"/>
    <w:rsid w:val="00166E2A"/>
    <w:rsid w:val="00174D8C"/>
    <w:rsid w:val="00196DD8"/>
    <w:rsid w:val="001D2CD7"/>
    <w:rsid w:val="002152E8"/>
    <w:rsid w:val="00231B62"/>
    <w:rsid w:val="002514D6"/>
    <w:rsid w:val="00253EC4"/>
    <w:rsid w:val="00255BCA"/>
    <w:rsid w:val="002606A9"/>
    <w:rsid w:val="002C0659"/>
    <w:rsid w:val="002D5547"/>
    <w:rsid w:val="00347F84"/>
    <w:rsid w:val="0035087E"/>
    <w:rsid w:val="003758A7"/>
    <w:rsid w:val="003B3794"/>
    <w:rsid w:val="00413B7A"/>
    <w:rsid w:val="0042245F"/>
    <w:rsid w:val="00427D23"/>
    <w:rsid w:val="00436EF9"/>
    <w:rsid w:val="0045326F"/>
    <w:rsid w:val="0047248C"/>
    <w:rsid w:val="004B3C7C"/>
    <w:rsid w:val="004B5367"/>
    <w:rsid w:val="004B69D7"/>
    <w:rsid w:val="004C1644"/>
    <w:rsid w:val="004D1CF9"/>
    <w:rsid w:val="004D2B15"/>
    <w:rsid w:val="004E1DC5"/>
    <w:rsid w:val="004E23E8"/>
    <w:rsid w:val="004E4BF8"/>
    <w:rsid w:val="005179A2"/>
    <w:rsid w:val="00547870"/>
    <w:rsid w:val="005661EE"/>
    <w:rsid w:val="00585FEB"/>
    <w:rsid w:val="005968F2"/>
    <w:rsid w:val="005A23D4"/>
    <w:rsid w:val="005C06EE"/>
    <w:rsid w:val="005C125A"/>
    <w:rsid w:val="005C7603"/>
    <w:rsid w:val="005D722D"/>
    <w:rsid w:val="00656D91"/>
    <w:rsid w:val="00695EE4"/>
    <w:rsid w:val="006A6B69"/>
    <w:rsid w:val="006C3BEA"/>
    <w:rsid w:val="006D5C00"/>
    <w:rsid w:val="006E4F4A"/>
    <w:rsid w:val="006E5FD5"/>
    <w:rsid w:val="00705760"/>
    <w:rsid w:val="00762B3C"/>
    <w:rsid w:val="007957CD"/>
    <w:rsid w:val="007B7E56"/>
    <w:rsid w:val="007D239F"/>
    <w:rsid w:val="007E4F2D"/>
    <w:rsid w:val="007F19CC"/>
    <w:rsid w:val="00823AF6"/>
    <w:rsid w:val="00827A2F"/>
    <w:rsid w:val="008455F3"/>
    <w:rsid w:val="00886C1D"/>
    <w:rsid w:val="00887BD1"/>
    <w:rsid w:val="00892D29"/>
    <w:rsid w:val="008E64D8"/>
    <w:rsid w:val="00915ED6"/>
    <w:rsid w:val="009165ED"/>
    <w:rsid w:val="00917A26"/>
    <w:rsid w:val="00923775"/>
    <w:rsid w:val="0094072A"/>
    <w:rsid w:val="009415CA"/>
    <w:rsid w:val="009446D6"/>
    <w:rsid w:val="00965573"/>
    <w:rsid w:val="00965702"/>
    <w:rsid w:val="009A3652"/>
    <w:rsid w:val="009C615C"/>
    <w:rsid w:val="00A238CA"/>
    <w:rsid w:val="00A425C5"/>
    <w:rsid w:val="00A45888"/>
    <w:rsid w:val="00A70D5F"/>
    <w:rsid w:val="00A71364"/>
    <w:rsid w:val="00A91688"/>
    <w:rsid w:val="00AB3F87"/>
    <w:rsid w:val="00AB548E"/>
    <w:rsid w:val="00AD3E92"/>
    <w:rsid w:val="00AE2198"/>
    <w:rsid w:val="00B0582D"/>
    <w:rsid w:val="00B23802"/>
    <w:rsid w:val="00B26AD2"/>
    <w:rsid w:val="00B27676"/>
    <w:rsid w:val="00B45D2E"/>
    <w:rsid w:val="00B4678A"/>
    <w:rsid w:val="00B57D81"/>
    <w:rsid w:val="00BC0DF0"/>
    <w:rsid w:val="00BC4841"/>
    <w:rsid w:val="00BC70C8"/>
    <w:rsid w:val="00C12C40"/>
    <w:rsid w:val="00C30B86"/>
    <w:rsid w:val="00C37DDF"/>
    <w:rsid w:val="00C76599"/>
    <w:rsid w:val="00C91D6F"/>
    <w:rsid w:val="00CA07C5"/>
    <w:rsid w:val="00CA2F23"/>
    <w:rsid w:val="00CA4C51"/>
    <w:rsid w:val="00CC760E"/>
    <w:rsid w:val="00CE6363"/>
    <w:rsid w:val="00D0156B"/>
    <w:rsid w:val="00D1694E"/>
    <w:rsid w:val="00D265B6"/>
    <w:rsid w:val="00D711AE"/>
    <w:rsid w:val="00DB7A0A"/>
    <w:rsid w:val="00DD389B"/>
    <w:rsid w:val="00DD3E85"/>
    <w:rsid w:val="00E0191D"/>
    <w:rsid w:val="00E21281"/>
    <w:rsid w:val="00E218E5"/>
    <w:rsid w:val="00E41B4C"/>
    <w:rsid w:val="00E4525C"/>
    <w:rsid w:val="00E5674E"/>
    <w:rsid w:val="00E641BD"/>
    <w:rsid w:val="00ED313A"/>
    <w:rsid w:val="00ED4B44"/>
    <w:rsid w:val="00F44433"/>
    <w:rsid w:val="00F46494"/>
    <w:rsid w:val="00F5364C"/>
    <w:rsid w:val="00F6017B"/>
    <w:rsid w:val="00F62C81"/>
    <w:rsid w:val="00F654B5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Allen</dc:creator>
  <cp:keywords/>
  <dc:description/>
  <cp:lastModifiedBy>omk</cp:lastModifiedBy>
  <cp:revision>21</cp:revision>
  <cp:lastPrinted>2019-06-27T14:14:00Z</cp:lastPrinted>
  <dcterms:created xsi:type="dcterms:W3CDTF">2019-07-12T22:31:00Z</dcterms:created>
  <dcterms:modified xsi:type="dcterms:W3CDTF">2019-09-07T04:54:00Z</dcterms:modified>
</cp:coreProperties>
</file>