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152"/>
        <w:gridCol w:w="3677"/>
        <w:gridCol w:w="2957"/>
        <w:gridCol w:w="2946"/>
        <w:gridCol w:w="3960"/>
      </w:tblGrid>
      <w:tr w:rsidR="00A51A47" w14:paraId="5B3FBEF1" w14:textId="77777777" w:rsidTr="006D1288">
        <w:trPr>
          <w:cantSplit/>
          <w:tblHeader/>
        </w:trPr>
        <w:tc>
          <w:tcPr>
            <w:tcW w:w="1152"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25E63BE2" w14:textId="77777777" w:rsidR="00A51A47" w:rsidRDefault="00A51A47" w:rsidP="006B6B0E">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677"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0C942260" w14:textId="77777777" w:rsidR="00A51A47" w:rsidRDefault="00A51A47"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2957"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29F7651D" w14:textId="77777777" w:rsidR="00A51A47" w:rsidRDefault="00A51A47"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Intervention(s)</w:t>
            </w:r>
          </w:p>
        </w:tc>
        <w:tc>
          <w:tcPr>
            <w:tcW w:w="2946"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12EED1C5" w14:textId="77777777" w:rsidR="00A51A47" w:rsidRDefault="00A51A47"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396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6EF229F0" w14:textId="77777777" w:rsidR="00A51A47" w:rsidRDefault="00A51A47" w:rsidP="006B6B0E">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Findings - Outcomes and Comparison</w:t>
            </w:r>
          </w:p>
        </w:tc>
      </w:tr>
      <w:tr w:rsidR="00A51A47" w14:paraId="4606571F" w14:textId="77777777" w:rsidTr="006D1288">
        <w:trPr>
          <w:cantSplit/>
        </w:trPr>
        <w:tc>
          <w:tcPr>
            <w:tcW w:w="1152" w:type="dxa"/>
            <w:tcBorders>
              <w:top w:val="nil"/>
              <w:left w:val="single" w:sz="6" w:space="0" w:color="000000"/>
              <w:bottom w:val="single" w:sz="6" w:space="0" w:color="000000"/>
              <w:right w:val="nil"/>
            </w:tcBorders>
            <w:shd w:val="clear" w:color="auto" w:fill="FFFFFF"/>
            <w:tcMar>
              <w:left w:w="60" w:type="dxa"/>
              <w:right w:w="60" w:type="dxa"/>
            </w:tcMar>
          </w:tcPr>
          <w:p w14:paraId="378D0CFA" w14:textId="77777777" w:rsidR="00A51A47" w:rsidRDefault="00A51A47" w:rsidP="00F730C6">
            <w:pPr>
              <w:adjustRightInd w:val="0"/>
              <w:spacing w:before="60" w:after="60"/>
              <w:rPr>
                <w:rFonts w:ascii="Times" w:hAnsi="Times" w:cs="Times"/>
                <w:color w:val="000000"/>
                <w:sz w:val="16"/>
                <w:szCs w:val="16"/>
              </w:rPr>
            </w:pPr>
            <w:r>
              <w:rPr>
                <w:rFonts w:ascii="Times" w:hAnsi="Times" w:cs="Times"/>
                <w:color w:val="000000"/>
                <w:sz w:val="16"/>
                <w:szCs w:val="16"/>
              </w:rPr>
              <w:t>Xie, 1998</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ExcludeYear="1"&gt;&lt;Author&gt;Xie&lt;/Author&gt;&lt;Year&gt;1998&lt;/Year&gt;&lt;RecNum&gt;12380&lt;/RecNum&gt;&lt;DisplayText&gt;&lt;style face="superscript" font="Times New Roman"&gt;101&lt;/style&gt;&lt;/DisplayText&gt;&lt;record&gt;&lt;rec-number&gt;12380&lt;/rec-number&gt;&lt;foreign-keys&gt;&lt;key app="EN" db-id="pvtaptp2cvrftwezfs5prs50t2et009d9r2r" timestamp="1490834164"&gt;12380&lt;/key&gt;&lt;/foreign-keys&gt;&lt;ref-type name="Journal Article"&gt;17&lt;/ref-type&gt;&lt;contributors&gt;&lt;authors&gt;&lt;author&gt;Xie, J.&lt;/author&gt;&lt;author&gt;Wang, J.&lt;/author&gt;&lt;author&gt;Yang, H.&lt;/author&gt;&lt;/authors&gt;&lt;/contributors&gt;&lt;auth-address&gt;Hypertension Department, Cardiovascular Institute &amp;amp; Fu Wai Hospital, Beijing 100037, China.&lt;/auth-address&gt;&lt;titles&gt;&lt;title&gt;Hypertension control improved through patient education. Chinese PEP Investigators&lt;/title&gt;&lt;secondary-title&gt;Chin Med J (Engl)&lt;/secondary-title&gt;&lt;/titles&gt;&lt;pages&gt;581-4&lt;/pages&gt;&lt;volume&gt;111&lt;/volume&gt;&lt;number&gt;7&lt;/number&gt;&lt;keywords&gt;&lt;keyword&gt;Aged&lt;/keyword&gt;&lt;keyword&gt;Antihypertensive Agents/*therapeutic use&lt;/keyword&gt;&lt;keyword&gt;Female&lt;/keyword&gt;&lt;keyword&gt;Follow-Up Studies&lt;/keyword&gt;&lt;keyword&gt;Humans&lt;/keyword&gt;&lt;keyword&gt;Hypertension/*therapy&lt;/keyword&gt;&lt;keyword&gt;Male&lt;/keyword&gt;&lt;keyword&gt;Metoprolol/therapeutic use&lt;/keyword&gt;&lt;keyword&gt;Middle Aged&lt;/keyword&gt;&lt;keyword&gt;Nitrendipine/therapeutic use&lt;/keyword&gt;&lt;keyword&gt;*Patient Education as Topic&lt;/keyword&gt;&lt;keyword&gt;Relaxation Therapy&lt;/keyword&gt;&lt;/keywords&gt;&lt;dates&gt;&lt;year&gt;1998&lt;/year&gt;&lt;pub-dates&gt;&lt;date&gt;Jul&lt;/date&gt;&lt;/pub-dates&gt;&lt;/dates&gt;&lt;isbn&gt;0366-6999 (Print)&amp;#xD;0366-6999 (Linking)&lt;/isbn&gt;&lt;accession-num&gt;11246837&lt;/accession-num&gt;&lt;urls&gt;&lt;related-urls&gt;&lt;url&gt;http://www.ncbi.nlm.nih.gov/pubmed/11246837&lt;/url&gt;&lt;/related-urls&gt;&lt;/urls&gt;&lt;custom1&gt;Reference Mining&lt;/custom1&gt;&lt;/record&gt;&lt;/Cite&gt;&lt;/EndNote&gt;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101</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China</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Cluster RCT Parallel</w:t>
            </w:r>
            <w:r>
              <w:rPr>
                <w:rFonts w:ascii="Times" w:hAnsi="Times" w:cs="Times"/>
                <w:color w:val="000000"/>
                <w:sz w:val="16"/>
                <w:szCs w:val="16"/>
              </w:rPr>
              <w:br/>
            </w:r>
            <w:r>
              <w:rPr>
                <w:rFonts w:ascii="Times" w:hAnsi="Times" w:cs="Times"/>
                <w:color w:val="000000"/>
                <w:sz w:val="16"/>
                <w:szCs w:val="16"/>
              </w:rPr>
              <w:br/>
              <w:t>Number of Sites:</w:t>
            </w:r>
            <w:r>
              <w:rPr>
                <w:rFonts w:ascii="Times" w:hAnsi="Times" w:cs="Times"/>
                <w:color w:val="000000"/>
                <w:sz w:val="16"/>
                <w:szCs w:val="16"/>
              </w:rPr>
              <w:br/>
            </w:r>
            <w:r>
              <w:rPr>
                <w:rFonts w:ascii="Times" w:hAnsi="Times" w:cs="Times"/>
                <w:color w:val="000000"/>
                <w:sz w:val="16"/>
                <w:szCs w:val="16"/>
              </w:rPr>
              <w:br/>
              <w:t>Study Years: unclear</w:t>
            </w:r>
          </w:p>
        </w:tc>
        <w:tc>
          <w:tcPr>
            <w:tcW w:w="3677" w:type="dxa"/>
            <w:tcBorders>
              <w:top w:val="nil"/>
              <w:left w:val="single" w:sz="2" w:space="0" w:color="000000"/>
              <w:bottom w:val="single" w:sz="6" w:space="0" w:color="000000"/>
              <w:right w:val="nil"/>
            </w:tcBorders>
            <w:shd w:val="clear" w:color="auto" w:fill="FFFFFF"/>
            <w:tcMar>
              <w:left w:w="60" w:type="dxa"/>
              <w:right w:w="60" w:type="dxa"/>
            </w:tcMar>
          </w:tcPr>
          <w:p w14:paraId="39379C1A" w14:textId="77777777" w:rsidR="00A51A47" w:rsidRDefault="00A51A47" w:rsidP="006B6B0E">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169</w:t>
            </w:r>
            <w:r>
              <w:rPr>
                <w:rFonts w:ascii="Times" w:hAnsi="Times" w:cs="Times"/>
                <w:color w:val="000000"/>
                <w:sz w:val="16"/>
                <w:szCs w:val="16"/>
              </w:rPr>
              <w:br/>
            </w:r>
            <w:r>
              <w:rPr>
                <w:rFonts w:ascii="Times" w:hAnsi="Times" w:cs="Times"/>
                <w:color w:val="000000"/>
                <w:sz w:val="16"/>
                <w:szCs w:val="16"/>
              </w:rPr>
              <w:br/>
              <w:t>Intervention 1:</w:t>
            </w:r>
            <w:r>
              <w:rPr>
                <w:rFonts w:ascii="Times" w:hAnsi="Times" w:cs="Times"/>
                <w:color w:val="000000"/>
                <w:sz w:val="16"/>
                <w:szCs w:val="16"/>
              </w:rPr>
              <w:br/>
              <w:t>% Male: 80</w:t>
            </w:r>
            <w:r>
              <w:rPr>
                <w:rFonts w:ascii="Times" w:hAnsi="Times" w:cs="Times"/>
                <w:color w:val="000000"/>
                <w:sz w:val="16"/>
                <w:szCs w:val="16"/>
              </w:rPr>
              <w:br/>
              <w:t>Mean Age/Range/Age at Baseline: mean 60 (SD 6)</w:t>
            </w:r>
            <w:r>
              <w:rPr>
                <w:rFonts w:ascii="Times" w:hAnsi="Times" w:cs="Times"/>
                <w:color w:val="000000"/>
                <w:sz w:val="16"/>
                <w:szCs w:val="16"/>
              </w:rPr>
              <w:br/>
              <w:t>Race: NR</w:t>
            </w:r>
            <w:r>
              <w:rPr>
                <w:rFonts w:ascii="Times" w:hAnsi="Times" w:cs="Times"/>
                <w:color w:val="000000"/>
                <w:sz w:val="16"/>
                <w:szCs w:val="16"/>
              </w:rPr>
              <w:br/>
              <w:t>Systolic BP: 161.86</w:t>
            </w:r>
            <w:r>
              <w:rPr>
                <w:rFonts w:ascii="Times" w:hAnsi="Times" w:cs="Times"/>
                <w:color w:val="000000"/>
                <w:sz w:val="16"/>
                <w:szCs w:val="16"/>
              </w:rPr>
              <w:br/>
              <w:t>Diastolic BP: 96.47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25.9</w:t>
            </w:r>
            <w:r>
              <w:rPr>
                <w:rFonts w:ascii="Times" w:hAnsi="Times" w:cs="Times"/>
                <w:color w:val="000000"/>
                <w:sz w:val="16"/>
                <w:szCs w:val="16"/>
              </w:rPr>
              <w:br/>
              <w:t>% with Hypertension: 100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Comparator:</w:t>
            </w:r>
            <w:r>
              <w:rPr>
                <w:rFonts w:ascii="Times" w:hAnsi="Times" w:cs="Times"/>
                <w:color w:val="000000"/>
                <w:sz w:val="16"/>
                <w:szCs w:val="16"/>
              </w:rPr>
              <w:br/>
              <w:t>% Male: 62.3</w:t>
            </w:r>
            <w:r>
              <w:rPr>
                <w:rFonts w:ascii="Times" w:hAnsi="Times" w:cs="Times"/>
                <w:color w:val="000000"/>
                <w:sz w:val="16"/>
                <w:szCs w:val="16"/>
              </w:rPr>
              <w:br/>
              <w:t>Mean Age/Range/Age at Baseline: mean 55 (SD 6)</w:t>
            </w:r>
            <w:r>
              <w:rPr>
                <w:rFonts w:ascii="Times" w:hAnsi="Times" w:cs="Times"/>
                <w:color w:val="000000"/>
                <w:sz w:val="16"/>
                <w:szCs w:val="16"/>
              </w:rPr>
              <w:br/>
              <w:t>Race: NR</w:t>
            </w:r>
            <w:r>
              <w:rPr>
                <w:rFonts w:ascii="Times" w:hAnsi="Times" w:cs="Times"/>
                <w:color w:val="000000"/>
                <w:sz w:val="16"/>
                <w:szCs w:val="16"/>
              </w:rPr>
              <w:br/>
              <w:t>Systolic BP: 168.79</w:t>
            </w:r>
            <w:r>
              <w:rPr>
                <w:rFonts w:ascii="Times" w:hAnsi="Times" w:cs="Times"/>
                <w:color w:val="000000"/>
                <w:sz w:val="16"/>
                <w:szCs w:val="16"/>
              </w:rPr>
              <w:br/>
              <w:t>Diastolic BP: 100.41</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26</w:t>
            </w:r>
            <w:r>
              <w:rPr>
                <w:rFonts w:ascii="Times" w:hAnsi="Times" w:cs="Times"/>
                <w:color w:val="000000"/>
                <w:sz w:val="16"/>
                <w:szCs w:val="16"/>
              </w:rPr>
              <w:br/>
              <w:t>% with Hypertension: 100</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persistently elevated DBP of &gt;= 95 mmHg and/or SBP &gt;= 160 mmHg</w:t>
            </w:r>
          </w:p>
        </w:tc>
        <w:tc>
          <w:tcPr>
            <w:tcW w:w="2957" w:type="dxa"/>
            <w:tcBorders>
              <w:top w:val="nil"/>
              <w:left w:val="single" w:sz="2" w:space="0" w:color="000000"/>
              <w:bottom w:val="single" w:sz="6" w:space="0" w:color="000000"/>
              <w:right w:val="nil"/>
            </w:tcBorders>
            <w:shd w:val="clear" w:color="auto" w:fill="FFFFFF"/>
            <w:tcMar>
              <w:left w:w="60" w:type="dxa"/>
              <w:right w:w="60" w:type="dxa"/>
            </w:tcMar>
          </w:tcPr>
          <w:p w14:paraId="256C5DA6" w14:textId="77777777" w:rsidR="00A51A47" w:rsidRDefault="00A51A47" w:rsidP="006B6B0E">
            <w:pPr>
              <w:adjustRightInd w:val="0"/>
              <w:spacing w:before="60" w:after="60"/>
              <w:rPr>
                <w:rFonts w:ascii="Times" w:hAnsi="Times" w:cs="Times"/>
                <w:color w:val="000000"/>
                <w:sz w:val="16"/>
                <w:szCs w:val="16"/>
              </w:rPr>
            </w:pPr>
            <w:r>
              <w:rPr>
                <w:rFonts w:ascii="Times" w:hAnsi="Times" w:cs="Times"/>
                <w:color w:val="000000"/>
                <w:sz w:val="16"/>
                <w:szCs w:val="16"/>
              </w:rPr>
              <w:t>Intervention Type(s):</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Intervention 1: NR</w:t>
            </w:r>
            <w:r>
              <w:rPr>
                <w:rFonts w:ascii="Times" w:hAnsi="Times" w:cs="Times"/>
                <w:color w:val="000000"/>
                <w:sz w:val="16"/>
                <w:szCs w:val="16"/>
              </w:rPr>
              <w:br/>
              <w:t>Description: The education included counselling on nonpharmacological treatment (weight reduction, salt moderation, physical exercise, alcohol moderation, and psychological relaxing assisted by biofeedback instrument), medication compliance, monitoring of progress toward target BP, self-measurement of BP, other risk reduction (smoking, lipids), and the keeping of appointments.</w:t>
            </w:r>
            <w:r>
              <w:rPr>
                <w:rFonts w:ascii="Times" w:hAnsi="Times" w:cs="Times"/>
                <w:color w:val="000000"/>
                <w:sz w:val="16"/>
                <w:szCs w:val="16"/>
              </w:rPr>
              <w:br/>
              <w:t>Form of Administration: Dietary Modification: NR</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Comparator: Other: Usual care</w:t>
            </w:r>
            <w:r>
              <w:rPr>
                <w:rFonts w:ascii="Times" w:hAnsi="Times" w:cs="Times"/>
                <w:color w:val="000000"/>
                <w:sz w:val="16"/>
                <w:szCs w:val="16"/>
              </w:rPr>
              <w:br/>
              <w:t>Description: NR</w:t>
            </w:r>
            <w:r>
              <w:rPr>
                <w:rFonts w:ascii="Times" w:hAnsi="Times" w:cs="Times"/>
                <w:color w:val="000000"/>
                <w:sz w:val="16"/>
                <w:szCs w:val="16"/>
              </w:rPr>
              <w:br/>
              <w:t>Form of Administration: Usual diet</w:t>
            </w:r>
            <w:r>
              <w:rPr>
                <w:rFonts w:ascii="Times" w:hAnsi="Times" w:cs="Times"/>
                <w:color w:val="000000"/>
                <w:sz w:val="16"/>
                <w:szCs w:val="16"/>
              </w:rPr>
              <w:br/>
              <w:t>Dose: NR</w:t>
            </w:r>
            <w:r>
              <w:rPr>
                <w:rFonts w:ascii="Times" w:hAnsi="Times" w:cs="Times"/>
                <w:color w:val="000000"/>
                <w:sz w:val="16"/>
                <w:szCs w:val="16"/>
              </w:rPr>
              <w:br/>
              <w:t>Na/K ratio: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r>
            <w:r>
              <w:rPr>
                <w:rFonts w:ascii="Times" w:hAnsi="Times" w:cs="Times"/>
                <w:color w:val="000000"/>
                <w:sz w:val="16"/>
                <w:szCs w:val="16"/>
              </w:rPr>
              <w:br/>
              <w:t>Duration: 36 months</w:t>
            </w:r>
            <w:r>
              <w:rPr>
                <w:rFonts w:ascii="Times" w:hAnsi="Times" w:cs="Times"/>
                <w:color w:val="000000"/>
                <w:sz w:val="16"/>
                <w:szCs w:val="16"/>
              </w:rPr>
              <w:br/>
              <w:t>Exposure to Follow Up Time: NR</w:t>
            </w:r>
          </w:p>
        </w:tc>
        <w:tc>
          <w:tcPr>
            <w:tcW w:w="2946" w:type="dxa"/>
            <w:tcBorders>
              <w:top w:val="nil"/>
              <w:left w:val="single" w:sz="2" w:space="0" w:color="000000"/>
              <w:bottom w:val="single" w:sz="6" w:space="0" w:color="000000"/>
              <w:right w:val="nil"/>
            </w:tcBorders>
            <w:shd w:val="clear" w:color="auto" w:fill="FFFFFF"/>
            <w:tcMar>
              <w:left w:w="60" w:type="dxa"/>
              <w:right w:w="60" w:type="dxa"/>
            </w:tcMar>
          </w:tcPr>
          <w:p w14:paraId="495178BA" w14:textId="77777777" w:rsidR="00A51A47" w:rsidRDefault="00A51A47" w:rsidP="006B6B0E">
            <w:pPr>
              <w:adjustRightInd w:val="0"/>
              <w:spacing w:before="60" w:after="60"/>
              <w:rPr>
                <w:rFonts w:ascii="Times" w:hAnsi="Times" w:cs="Times"/>
                <w:color w:val="000000"/>
                <w:sz w:val="16"/>
                <w:szCs w:val="16"/>
              </w:rPr>
            </w:pPr>
            <w:r>
              <w:rPr>
                <w:rFonts w:ascii="Times" w:hAnsi="Times" w:cs="Times"/>
                <w:color w:val="000000"/>
                <w:sz w:val="16"/>
                <w:szCs w:val="16"/>
              </w:rPr>
              <w:t>Sodium measure: Single 24-hour urinary analysis without reported quality control measure</w:t>
            </w:r>
            <w:r>
              <w:rPr>
                <w:rFonts w:ascii="Times" w:hAnsi="Times" w:cs="Times"/>
                <w:color w:val="000000"/>
                <w:sz w:val="16"/>
                <w:szCs w:val="16"/>
              </w:rPr>
              <w:br/>
              <w:t>Best sodium measure recorded: 3 times over 3 years</w:t>
            </w:r>
            <w:r>
              <w:rPr>
                <w:rFonts w:ascii="Times" w:hAnsi="Times" w:cs="Times"/>
                <w:color w:val="000000"/>
                <w:sz w:val="16"/>
                <w:szCs w:val="16"/>
              </w:rPr>
              <w:br/>
              <w:t xml:space="preserve">Sodium Status Intervention 1: </w:t>
            </w:r>
            <w:proofErr w:type="gramStart"/>
            <w:r>
              <w:rPr>
                <w:rFonts w:ascii="Times" w:hAnsi="Times" w:cs="Times"/>
                <w:color w:val="000000"/>
                <w:sz w:val="16"/>
                <w:szCs w:val="16"/>
              </w:rPr>
              <w:t>98.24 mmol/24h</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w:t>
            </w:r>
            <w:proofErr w:type="gramEnd"/>
            <w:r>
              <w:rPr>
                <w:rFonts w:ascii="Times" w:hAnsi="Times" w:cs="Times"/>
                <w:color w:val="000000"/>
                <w:sz w:val="16"/>
                <w:szCs w:val="16"/>
              </w:rPr>
              <w:t>? unclear</w:t>
            </w:r>
            <w:r>
              <w:rPr>
                <w:rFonts w:ascii="Times" w:hAnsi="Times" w:cs="Times"/>
                <w:color w:val="000000"/>
                <w:sz w:val="16"/>
                <w:szCs w:val="16"/>
              </w:rPr>
              <w:br/>
              <w:t>CVD, CHD, stroke, kidney stones/disease Outcomes-Method of ascertainment: Unclear</w:t>
            </w:r>
          </w:p>
        </w:tc>
        <w:tc>
          <w:tcPr>
            <w:tcW w:w="396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55916617" w14:textId="77777777" w:rsidR="00A51A47" w:rsidRDefault="00A51A47" w:rsidP="006B6B0E">
            <w:pPr>
              <w:adjustRightInd w:val="0"/>
              <w:spacing w:before="60" w:after="60"/>
              <w:rPr>
                <w:rFonts w:ascii="Times" w:hAnsi="Times" w:cs="Times"/>
                <w:color w:val="000000"/>
                <w:sz w:val="16"/>
                <w:szCs w:val="16"/>
              </w:rPr>
            </w:pPr>
            <w:r>
              <w:rPr>
                <w:rFonts w:ascii="Times" w:hAnsi="Times" w:cs="Times"/>
                <w:color w:val="000000"/>
                <w:sz w:val="16"/>
                <w:szCs w:val="16"/>
              </w:rPr>
              <w:t>Subgroup: Chinese</w:t>
            </w:r>
            <w:r>
              <w:rPr>
                <w:rFonts w:ascii="Times" w:hAnsi="Times" w:cs="Times"/>
                <w:color w:val="000000"/>
                <w:sz w:val="16"/>
                <w:szCs w:val="16"/>
              </w:rPr>
              <w:br/>
              <w:t>Diastolic BP-NS</w:t>
            </w:r>
            <w:r>
              <w:rPr>
                <w:rFonts w:ascii="Times" w:hAnsi="Times" w:cs="Times"/>
                <w:color w:val="000000"/>
                <w:sz w:val="16"/>
                <w:szCs w:val="16"/>
              </w:rPr>
              <w:br/>
              <w:t>Follow-Up Time: 2 years</w:t>
            </w:r>
            <w:r>
              <w:rPr>
                <w:rFonts w:ascii="Times" w:hAnsi="Times" w:cs="Times"/>
                <w:color w:val="000000"/>
                <w:sz w:val="16"/>
                <w:szCs w:val="16"/>
              </w:rPr>
              <w:br/>
              <w:t>Comparison: Intervention 1 vs Comparator</w:t>
            </w:r>
            <w:r>
              <w:rPr>
                <w:rFonts w:ascii="Times" w:hAnsi="Times" w:cs="Times"/>
                <w:color w:val="000000"/>
                <w:sz w:val="16"/>
                <w:szCs w:val="16"/>
              </w:rPr>
              <w:br/>
              <w:t>MD 0.50 (95% CI: -1.96 - 2.96)</w:t>
            </w:r>
            <w:r>
              <w:rPr>
                <w:rFonts w:ascii="Times" w:hAnsi="Times" w:cs="Times"/>
                <w:color w:val="000000"/>
                <w:sz w:val="16"/>
                <w:szCs w:val="16"/>
              </w:rPr>
              <w:br/>
              <w:t>Left ventricular hypertrophy-PWT (cm)</w:t>
            </w:r>
            <w:r>
              <w:rPr>
                <w:rFonts w:ascii="Times" w:hAnsi="Times" w:cs="Times"/>
                <w:color w:val="000000"/>
                <w:sz w:val="16"/>
                <w:szCs w:val="16"/>
              </w:rPr>
              <w:br/>
              <w:t>Follow-Up Time: 2 years</w:t>
            </w:r>
            <w:r>
              <w:rPr>
                <w:rFonts w:ascii="Times" w:hAnsi="Times" w:cs="Times"/>
                <w:color w:val="000000"/>
                <w:sz w:val="16"/>
                <w:szCs w:val="16"/>
              </w:rPr>
              <w:br/>
              <w:t>Comparison: Intervention 1 vs Comparator</w:t>
            </w:r>
            <w:r>
              <w:rPr>
                <w:rFonts w:ascii="Times" w:hAnsi="Times" w:cs="Times"/>
                <w:color w:val="000000"/>
                <w:sz w:val="16"/>
                <w:szCs w:val="16"/>
              </w:rPr>
              <w:br/>
              <w:t>MD 0.11 (95% CI: -0.60 - 0.82)</w:t>
            </w:r>
            <w:r>
              <w:rPr>
                <w:rFonts w:ascii="Times" w:hAnsi="Times" w:cs="Times"/>
                <w:color w:val="000000"/>
                <w:sz w:val="16"/>
                <w:szCs w:val="16"/>
              </w:rPr>
              <w:br/>
              <w:t>Percent under control</w:t>
            </w:r>
            <w:r>
              <w:rPr>
                <w:rFonts w:ascii="Times" w:hAnsi="Times" w:cs="Times"/>
                <w:color w:val="000000"/>
                <w:sz w:val="16"/>
                <w:szCs w:val="16"/>
              </w:rPr>
              <w:br/>
              <w:t>Follow-Up Time: 2 years</w:t>
            </w:r>
            <w:r>
              <w:rPr>
                <w:rFonts w:ascii="Times" w:hAnsi="Times" w:cs="Times"/>
                <w:color w:val="000000"/>
                <w:sz w:val="16"/>
                <w:szCs w:val="16"/>
              </w:rPr>
              <w:br/>
              <w:t>Comparison: Intervention 1 vs Comparator</w:t>
            </w:r>
            <w:r>
              <w:rPr>
                <w:rFonts w:ascii="Times" w:hAnsi="Times" w:cs="Times"/>
                <w:color w:val="000000"/>
                <w:sz w:val="16"/>
                <w:szCs w:val="16"/>
              </w:rPr>
              <w:br/>
              <w:t>RR 1.31 (95% CI: 1.04 - 1.65)</w:t>
            </w:r>
            <w:r>
              <w:rPr>
                <w:rFonts w:ascii="Times" w:hAnsi="Times" w:cs="Times"/>
                <w:color w:val="000000"/>
                <w:sz w:val="16"/>
                <w:szCs w:val="16"/>
              </w:rPr>
              <w:br/>
              <w:t>Systolic BP-NS</w:t>
            </w:r>
            <w:r>
              <w:rPr>
                <w:rFonts w:ascii="Times" w:hAnsi="Times" w:cs="Times"/>
                <w:color w:val="000000"/>
                <w:sz w:val="16"/>
                <w:szCs w:val="16"/>
              </w:rPr>
              <w:br/>
              <w:t>Follow-Up Time: 2 years</w:t>
            </w:r>
            <w:r>
              <w:rPr>
                <w:rFonts w:ascii="Times" w:hAnsi="Times" w:cs="Times"/>
                <w:color w:val="000000"/>
                <w:sz w:val="16"/>
                <w:szCs w:val="16"/>
              </w:rPr>
              <w:br/>
              <w:t>Comparison: Intervention 1 vs Comparator</w:t>
            </w:r>
            <w:r>
              <w:rPr>
                <w:rFonts w:ascii="Times" w:hAnsi="Times" w:cs="Times"/>
                <w:color w:val="000000"/>
                <w:sz w:val="16"/>
                <w:szCs w:val="16"/>
              </w:rPr>
              <w:br/>
              <w:t>MD 2.60 (95% CI: -1.99 - 7.19)</w:t>
            </w:r>
          </w:p>
        </w:tc>
      </w:tr>
    </w:tbl>
    <w:p w14:paraId="7C492723" w14:textId="77777777" w:rsidR="00A51A47" w:rsidRDefault="00A51A47" w:rsidP="00A51A47">
      <w:pPr>
        <w:keepNext/>
        <w:adjustRightInd w:val="0"/>
        <w:rPr>
          <w:rFonts w:ascii="Arial" w:hAnsi="Arial" w:cs="Arial"/>
          <w:b/>
          <w:bCs/>
          <w:color w:val="000000"/>
          <w:shd w:val="clear" w:color="auto" w:fill="FFFFFF"/>
        </w:rPr>
      </w:pPr>
    </w:p>
    <w:p w14:paraId="76D48B5D" w14:textId="77777777" w:rsidR="00264F31" w:rsidRDefault="00264F31" w:rsidP="0024302C">
      <w:pPr>
        <w:pStyle w:val="Level1Heading0"/>
      </w:pPr>
    </w:p>
    <w:sectPr w:rsidR="00264F31" w:rsidSect="001C6E98">
      <w:footerReference w:type="default" r:id="rId8"/>
      <w:pgSz w:w="15840" w:h="12240" w:orient="landscape"/>
      <w:pgMar w:top="360" w:right="360" w:bottom="360" w:left="360" w:header="720" w:footer="360" w:gutter="0"/>
      <w:pgNumType w:start="8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480AFA">
          <w:rPr>
            <w:noProof/>
            <w:sz w:val="24"/>
            <w:szCs w:val="24"/>
          </w:rPr>
          <w:t>81</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s>
  <w:rsids>
    <w:rsidRoot w:val="004211D8"/>
    <w:rsid w:val="00051545"/>
    <w:rsid w:val="00073F6F"/>
    <w:rsid w:val="000A6496"/>
    <w:rsid w:val="001030BC"/>
    <w:rsid w:val="00153DC6"/>
    <w:rsid w:val="001C3DB6"/>
    <w:rsid w:val="001C6E98"/>
    <w:rsid w:val="001E5874"/>
    <w:rsid w:val="002138C4"/>
    <w:rsid w:val="0024302C"/>
    <w:rsid w:val="00264F31"/>
    <w:rsid w:val="00277E2A"/>
    <w:rsid w:val="00284823"/>
    <w:rsid w:val="002854A8"/>
    <w:rsid w:val="002C0067"/>
    <w:rsid w:val="002D5240"/>
    <w:rsid w:val="00320524"/>
    <w:rsid w:val="00322AA1"/>
    <w:rsid w:val="00335A22"/>
    <w:rsid w:val="00374DDC"/>
    <w:rsid w:val="004211D8"/>
    <w:rsid w:val="00424DDC"/>
    <w:rsid w:val="00480AFA"/>
    <w:rsid w:val="004A2C6C"/>
    <w:rsid w:val="004C6E86"/>
    <w:rsid w:val="004F7E05"/>
    <w:rsid w:val="005774C4"/>
    <w:rsid w:val="005B7326"/>
    <w:rsid w:val="005C3DE6"/>
    <w:rsid w:val="005C4061"/>
    <w:rsid w:val="00650839"/>
    <w:rsid w:val="006508A5"/>
    <w:rsid w:val="00675FDE"/>
    <w:rsid w:val="006B6B0E"/>
    <w:rsid w:val="006D1288"/>
    <w:rsid w:val="006E01C3"/>
    <w:rsid w:val="007067A2"/>
    <w:rsid w:val="00747CD3"/>
    <w:rsid w:val="00750F35"/>
    <w:rsid w:val="0077237C"/>
    <w:rsid w:val="0084679E"/>
    <w:rsid w:val="0088514C"/>
    <w:rsid w:val="008A5926"/>
    <w:rsid w:val="00950E39"/>
    <w:rsid w:val="00951471"/>
    <w:rsid w:val="00952055"/>
    <w:rsid w:val="00957499"/>
    <w:rsid w:val="0096444D"/>
    <w:rsid w:val="00965ED6"/>
    <w:rsid w:val="009704AD"/>
    <w:rsid w:val="009803C7"/>
    <w:rsid w:val="009C0323"/>
    <w:rsid w:val="009D418B"/>
    <w:rsid w:val="009F2BD0"/>
    <w:rsid w:val="00A2243A"/>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7</cp:revision>
  <dcterms:created xsi:type="dcterms:W3CDTF">2018-06-05T16:25:00Z</dcterms:created>
  <dcterms:modified xsi:type="dcterms:W3CDTF">2018-08-16T11:53:00Z</dcterms:modified>
</cp:coreProperties>
</file>