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FD7FB0" w:rsidRDefault="00FD7FB0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Default="00720ACB" w:rsidP="006651E7">
      <w:pPr>
        <w:pStyle w:val="TableTitle0"/>
        <w:tabs>
          <w:tab w:val="left" w:pos="1080"/>
        </w:tabs>
        <w:spacing w:before="0"/>
      </w:pPr>
    </w:p>
    <w:p w:rsidR="00720ACB" w:rsidRPr="00FD7FB0" w:rsidRDefault="00720ACB" w:rsidP="006651E7">
      <w:pPr>
        <w:pStyle w:val="TableTitle0"/>
        <w:tabs>
          <w:tab w:val="left" w:pos="1080"/>
        </w:tabs>
        <w:spacing w:before="0"/>
        <w:rPr>
          <w:sz w:val="16"/>
          <w:szCs w:val="16"/>
        </w:rPr>
      </w:pPr>
    </w:p>
    <w:p w:rsidR="00720ACB" w:rsidRDefault="00720ACB" w:rsidP="006651E7">
      <w:pPr>
        <w:pStyle w:val="TableTitle0"/>
        <w:tabs>
          <w:tab w:val="left" w:pos="1080"/>
        </w:tabs>
        <w:spacing w:before="0"/>
        <w:rPr>
          <w:sz w:val="16"/>
          <w:szCs w:val="16"/>
        </w:rPr>
      </w:pPr>
    </w:p>
    <w:p w:rsidR="000012E5" w:rsidRPr="00FD7FB0" w:rsidRDefault="000012E5" w:rsidP="006651E7">
      <w:pPr>
        <w:pStyle w:val="TableTitle0"/>
        <w:tabs>
          <w:tab w:val="left" w:pos="1080"/>
        </w:tabs>
        <w:spacing w:before="0"/>
        <w:rPr>
          <w:sz w:val="16"/>
          <w:szCs w:val="16"/>
        </w:rPr>
      </w:pPr>
    </w:p>
    <w:p w:rsidR="00FD7FB0" w:rsidRPr="00FD7FB0" w:rsidRDefault="00FD7FB0" w:rsidP="006651E7">
      <w:pPr>
        <w:pStyle w:val="TableTitle0"/>
        <w:tabs>
          <w:tab w:val="left" w:pos="1080"/>
        </w:tabs>
        <w:spacing w:before="0"/>
        <w:rPr>
          <w:sz w:val="16"/>
          <w:szCs w:val="16"/>
        </w:rPr>
      </w:pPr>
    </w:p>
    <w:p w:rsidR="006651E7" w:rsidRPr="00B01027" w:rsidRDefault="006651E7" w:rsidP="006651E7">
      <w:pPr>
        <w:pStyle w:val="TableTitle0"/>
        <w:tabs>
          <w:tab w:val="left" w:pos="1080"/>
        </w:tabs>
        <w:spacing w:before="0"/>
      </w:pPr>
      <w:r w:rsidRPr="00B01027">
        <w:t>Table C</w:t>
      </w:r>
      <w:r w:rsidR="00D242F6">
        <w:t>-</w:t>
      </w:r>
      <w:r w:rsidR="00A91B24">
        <w:t>2</w:t>
      </w:r>
      <w:r w:rsidRPr="00B01027">
        <w:t>.</w:t>
      </w:r>
      <w:r w:rsidRPr="00B01027">
        <w:tab/>
        <w:t>Outcomes of acaricide</w:t>
      </w:r>
      <w:r>
        <w:t xml:space="preserve"> </w:t>
      </w:r>
      <w:r w:rsidRPr="00690D8F">
        <w:t>(dust mite pesticide)</w:t>
      </w:r>
      <w:r w:rsidRPr="00B01027">
        <w:t xml:space="preserve"> </w:t>
      </w:r>
      <w:r>
        <w:t>studies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31"/>
        <w:gridCol w:w="995"/>
        <w:gridCol w:w="1505"/>
        <w:gridCol w:w="4051"/>
        <w:gridCol w:w="810"/>
        <w:gridCol w:w="2610"/>
        <w:gridCol w:w="2969"/>
      </w:tblGrid>
      <w:tr w:rsidR="006651E7" w:rsidRPr="004B7958" w:rsidTr="009D0F53">
        <w:trPr>
          <w:cantSplit/>
          <w:trHeight w:val="483"/>
          <w:tblHeader/>
        </w:trPr>
        <w:tc>
          <w:tcPr>
            <w:tcW w:w="153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6574EF" w:rsidRDefault="006651E7" w:rsidP="009D0F53">
            <w:pPr>
              <w:pStyle w:val="TableColumnHead"/>
            </w:pPr>
            <w:r w:rsidRPr="006574EF">
              <w:t>Study</w:t>
            </w:r>
          </w:p>
        </w:tc>
        <w:tc>
          <w:tcPr>
            <w:tcW w:w="9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6574EF" w:rsidRDefault="006651E7" w:rsidP="009D0F53">
            <w:pPr>
              <w:pStyle w:val="TableColumnHead"/>
            </w:pPr>
            <w:r w:rsidRPr="006574EF">
              <w:t>Asthma Control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6574EF" w:rsidRDefault="006651E7" w:rsidP="009D0F53">
            <w:pPr>
              <w:pStyle w:val="TableColumnHead"/>
            </w:pPr>
            <w:r>
              <w:t>Exacerbations and Healthcare Utilization</w:t>
            </w:r>
            <w:r w:rsidRPr="006574EF">
              <w:t xml:space="preserve"> </w:t>
            </w:r>
          </w:p>
        </w:tc>
        <w:tc>
          <w:tcPr>
            <w:tcW w:w="40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6574EF" w:rsidRDefault="006651E7" w:rsidP="009D0F53">
            <w:pPr>
              <w:pStyle w:val="TableColumnHead"/>
            </w:pPr>
            <w:r>
              <w:t>Pulmonary Physiology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Pr="006574EF" w:rsidRDefault="006651E7" w:rsidP="009D0F53">
            <w:pPr>
              <w:pStyle w:val="TableColumnHead"/>
            </w:pPr>
            <w:r w:rsidRPr="006574EF">
              <w:t>Quality of Life</w:t>
            </w:r>
          </w:p>
        </w:tc>
        <w:tc>
          <w:tcPr>
            <w:tcW w:w="26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Default="006651E7" w:rsidP="009D0F53">
            <w:pPr>
              <w:pStyle w:val="TableColumnHead"/>
            </w:pPr>
            <w:r>
              <w:t>Symptoms</w:t>
            </w:r>
          </w:p>
          <w:p w:rsidR="006651E7" w:rsidRPr="006574EF" w:rsidRDefault="006651E7" w:rsidP="009D0F53">
            <w:pPr>
              <w:pStyle w:val="TableColumnHead"/>
            </w:pPr>
            <w:r>
              <w:t>(secondary measure)</w:t>
            </w:r>
          </w:p>
        </w:tc>
        <w:tc>
          <w:tcPr>
            <w:tcW w:w="29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4C6E7"/>
          </w:tcPr>
          <w:p w:rsidR="006651E7" w:rsidRDefault="006651E7" w:rsidP="009D0F53">
            <w:pPr>
              <w:pStyle w:val="TableColumnHead"/>
            </w:pPr>
            <w:r w:rsidRPr="006574EF">
              <w:t>Allergen Levels</w:t>
            </w:r>
          </w:p>
          <w:p w:rsidR="006651E7" w:rsidRPr="006574EF" w:rsidRDefault="006651E7" w:rsidP="009D0F53">
            <w:pPr>
              <w:pStyle w:val="TableColumnHead"/>
            </w:pPr>
            <w:r>
              <w:t>(secondary measure)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31" w:type="dxa"/>
            <w:tcBorders>
              <w:top w:val="double" w:sz="4" w:space="0" w:color="auto"/>
            </w:tcBorders>
          </w:tcPr>
          <w:p w:rsidR="006651E7" w:rsidRPr="009F2B6A" w:rsidRDefault="006651E7" w:rsidP="009D0F53">
            <w:pPr>
              <w:pStyle w:val="TableText"/>
            </w:pPr>
            <w:r w:rsidRPr="009F2B6A">
              <w:t>Bahir et al. 1997</w:t>
            </w:r>
            <w:r w:rsidR="004B1D66">
              <w:fldChar w:fldCharType="begin"/>
            </w:r>
            <w:r>
              <w:instrText xml:space="preserve"> ADDIN REFMGR.CITE &lt;Refman&gt;&lt;Cite&gt;&lt;Author&gt;Bahir&lt;/Author&gt;&lt;Year&gt;1997&lt;/Year&gt;&lt;RecNum&gt;845872&lt;/RecNum&gt;&lt;IDText&gt;Continuous avoidance measures with or without acaricide in dust mite-allergic asthmatic children&lt;/IDText&gt;&lt;MDL Ref_Type="Journal"&gt;&lt;Ref_Type&gt;Journal&lt;/Ref_Type&gt;&lt;Ref_ID&gt;845872&lt;/Ref_ID&gt;&lt;Title_Primary&gt;Continuous avoidance measures with or without acaricide in dust mite-allergic asthmatic children&lt;/Title_Primary&gt;&lt;Authors_Primary&gt;Bahir,A.&lt;/Authors_Primary&gt;&lt;Authors_Primary&gt;Goldberg,A.&lt;/Authors_Primary&gt;&lt;Authors_Primary&gt;Mekori,Y.A.&lt;/Authors_Primary&gt;&lt;Authors_Primary&gt;Confino-Cohen,R.&lt;/Authors_Primary&gt;&lt;Authors_Primary&gt;Morag,H.&lt;/Authors_Primary&gt;&lt;Authors_Primary&gt;Rosen,Y.&lt;/Authors_Primary&gt;&lt;Authors_Primary&gt;Monakir,D.&lt;/Authors_Primary&gt;&lt;Authors_Primary&gt;Rigler,S.&lt;/Authors_Primary&gt;&lt;Authors_Primary&gt;Cohen,A.H.&lt;/Authors_Primary&gt;&lt;Authors_Primary&gt;Horev,Z.&lt;/Authors_Primary&gt;&lt;Authors_Primary&gt;Noviski,N.&lt;/Authors_Primary&gt;&lt;Authors_Primary&gt;Mandelberg,A.&lt;/Authors_Primary&gt;&lt;Date_Primary&gt;1997/5&lt;/Date_Primary&gt;&lt;Keywords&gt;acaricide&lt;/Keywords&gt;&lt;Keywords&gt;piperonyl butoxide&lt;/Keywords&gt;&lt;Keywords&gt;allergic asthma (diagnosis&lt;/Keywords&gt;&lt;Keywords&gt;prevention)&lt;/Keywords&gt;&lt;Keywords&gt;house dust allergy (diagnosis&lt;/Keywords&gt;&lt;Keywords&gt;prevention)&lt;/Keywords&gt;&lt;Keywords&gt;adolescent&lt;/Keywords&gt;&lt;Keywords&gt;adult&lt;/Keywords&gt;&lt;Keywords&gt;article&lt;/Keywords&gt;&lt;Keywords&gt;child&lt;/Keywords&gt;&lt;Keywords&gt;cleaning&lt;/Keywords&gt;&lt;Keywords&gt;clinical article&lt;/Keywords&gt;&lt;Keywords&gt;clinical trial&lt;/Keywords&gt;&lt;Keywords&gt;controlled clinical trial&lt;/Keywords&gt;&lt;Keywords&gt;controlled study&lt;/Keywords&gt;&lt;Keywords&gt;double blind proce&lt;/Keywords&gt;&lt;Reprint&gt;Not in File&lt;/Reprint&gt;&lt;Start_Page&gt;506&lt;/Start_Page&gt;&lt;End_Page&gt;512&lt;/End_Page&gt;&lt;Periodical&gt;Ann Allergy Asthma Immunol&lt;/Periodical&gt;&lt;Volume&gt;78&lt;/Volume&gt;&lt;Issue&gt;5&lt;/Issue&gt;&lt;User_Def_2&gt;Embase.com 7/19/2016&lt;/User_Def_2&gt;&lt;User_Def_3&gt;Given to Distiller on 10/11/2016 for EPC0039_EnviroTab&lt;/User_Def_3&gt;&lt;ISSN_ISBN&gt;9164365&lt;/ISSN_ISBN&gt;&lt;Availability&gt;Sharepoint, Distiller, EPC0039, SREMEPC39_KQ1KQ2_071916E, EPC0039_EnviroTab, HT_EPC39orderEnviro091316, EPC0039_cites_122016&lt;/Availability&gt;&lt;Address&gt;A. Bahir, Allergy and Clinical Immunology Unit, Meir Hospital, 44281 Kfar Sabu, Israel&lt;/Address&gt;&lt;ZZ_JournalStdAbbrev&gt;&lt;f name="System"&gt;Ann Allergy Asthma Immunol&lt;/f&gt;&lt;/ZZ_JournalStdAbbrev&gt;&lt;ZZ_WorkformID&gt;1&lt;/ZZ_WorkformID&gt;&lt;/MDL&gt;&lt;/Cite&gt;&lt;/Refman&gt;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1</w:t>
            </w:r>
            <w:r w:rsidR="004B1D66">
              <w:fldChar w:fldCharType="end"/>
            </w:r>
          </w:p>
        </w:tc>
        <w:tc>
          <w:tcPr>
            <w:tcW w:w="995" w:type="dxa"/>
            <w:tcBorders>
              <w:top w:val="double" w:sz="4" w:space="0" w:color="auto"/>
            </w:tcBorders>
          </w:tcPr>
          <w:p w:rsidR="006651E7" w:rsidRPr="009F2B6A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  <w:tcBorders>
              <w:top w:val="double" w:sz="4" w:space="0" w:color="auto"/>
            </w:tcBorders>
          </w:tcPr>
          <w:p w:rsidR="006651E7" w:rsidRPr="009F2B6A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4051" w:type="dxa"/>
            <w:tcBorders>
              <w:top w:val="double" w:sz="4" w:space="0" w:color="auto"/>
            </w:tcBorders>
          </w:tcPr>
          <w:p w:rsidR="006651E7" w:rsidRPr="009F2B6A" w:rsidRDefault="006651E7" w:rsidP="009D0F53">
            <w:pPr>
              <w:pStyle w:val="TableText"/>
              <w:rPr>
                <w:rFonts w:eastAsiaTheme="minorHAnsi"/>
              </w:rPr>
            </w:pPr>
            <w:r w:rsidRPr="000A0054">
              <w:rPr>
                <w:b/>
              </w:rPr>
              <w:t>Spirometry</w:t>
            </w:r>
            <w:r w:rsidRPr="00551AB2">
              <w:rPr>
                <w:b/>
              </w:rPr>
              <w:t>:</w:t>
            </w:r>
            <w:r w:rsidRPr="009F2B6A">
              <w:t xml:space="preserve"> </w:t>
            </w:r>
            <w:r>
              <w:t xml:space="preserve">Comparison of arms </w:t>
            </w:r>
            <w:r w:rsidRPr="009F2B6A">
              <w:t>showed no difference between treatments for any outcomes (data shown graphically; p&gt;0.05)</w:t>
            </w:r>
          </w:p>
          <w:p w:rsidR="006651E7" w:rsidRDefault="006651E7" w:rsidP="009D0F53">
            <w:pPr>
              <w:pStyle w:val="TableText"/>
            </w:pPr>
            <w:r w:rsidRPr="000D35F7">
              <w:rPr>
                <w:u w:val="single"/>
              </w:rPr>
              <w:t>FEV</w:t>
            </w:r>
            <w:r w:rsidRPr="000D35F7">
              <w:rPr>
                <w:u w:val="single"/>
                <w:vertAlign w:val="subscript"/>
              </w:rPr>
              <w:t xml:space="preserve">1, </w:t>
            </w:r>
            <w:r w:rsidRPr="000D35F7">
              <w:rPr>
                <w:u w:val="single"/>
              </w:rPr>
              <w:t>%</w:t>
            </w:r>
            <w:r w:rsidRPr="0076171E">
              <w:t xml:space="preserve"> </w:t>
            </w:r>
            <w:r w:rsidRPr="000D35F7">
              <w:t>mean (SD)</w:t>
            </w:r>
          </w:p>
          <w:p w:rsidR="006651E7" w:rsidRPr="001A0944" w:rsidRDefault="006651E7" w:rsidP="009D0F53">
            <w:pPr>
              <w:pStyle w:val="TableText"/>
            </w:pPr>
            <w:r w:rsidRPr="001A0944">
              <w:t xml:space="preserve">Baseline: 73.5 (13.2)% </w:t>
            </w:r>
          </w:p>
          <w:p w:rsidR="006651E7" w:rsidRPr="009F2B6A" w:rsidRDefault="006651E7" w:rsidP="009D0F53">
            <w:pPr>
              <w:pStyle w:val="TableText"/>
            </w:pPr>
            <w:r w:rsidRPr="00625AE2">
              <w:t>6 months: 78.2 (14.7)%</w:t>
            </w:r>
          </w:p>
          <w:p w:rsidR="006651E7" w:rsidRPr="009F2B6A" w:rsidRDefault="006651E7" w:rsidP="009D0F53">
            <w:pPr>
              <w:pStyle w:val="TableText"/>
            </w:pPr>
            <w:r>
              <w:t xml:space="preserve">Not </w:t>
            </w:r>
            <w:r w:rsidRPr="009F2B6A">
              <w:t>statistically</w:t>
            </w:r>
            <w:r>
              <w:t xml:space="preserve"> significant</w:t>
            </w:r>
          </w:p>
          <w:p w:rsidR="006651E7" w:rsidRDefault="006651E7" w:rsidP="009D0F53">
            <w:pPr>
              <w:pStyle w:val="TableText"/>
            </w:pPr>
            <w:r w:rsidRPr="000D35F7">
              <w:rPr>
                <w:u w:val="single"/>
              </w:rPr>
              <w:t>Morning PEFR</w:t>
            </w:r>
            <w:r w:rsidRPr="0076171E">
              <w:t>,</w:t>
            </w:r>
            <w:r w:rsidRPr="009F2B6A">
              <w:t xml:space="preserve"> mean (SD)</w:t>
            </w:r>
            <w:r>
              <w:t>:</w:t>
            </w:r>
            <w:r w:rsidRPr="009F2B6A">
              <w:t xml:space="preserve"> </w:t>
            </w:r>
          </w:p>
          <w:p w:rsidR="006651E7" w:rsidRPr="009F2B6A" w:rsidRDefault="006651E7" w:rsidP="009D0F53">
            <w:pPr>
              <w:pStyle w:val="TableText"/>
            </w:pPr>
            <w:r w:rsidRPr="009F2B6A">
              <w:t xml:space="preserve">Baseline: 245 (85) </w:t>
            </w:r>
          </w:p>
          <w:p w:rsidR="006651E7" w:rsidRPr="009F2B6A" w:rsidRDefault="006651E7" w:rsidP="009D0F53">
            <w:pPr>
              <w:pStyle w:val="TableText"/>
            </w:pPr>
            <w:r w:rsidRPr="009F2B6A">
              <w:t>6 months: 282 (82)</w:t>
            </w:r>
          </w:p>
          <w:p w:rsidR="006651E7" w:rsidRPr="009F2B6A" w:rsidRDefault="006651E7" w:rsidP="009D0F53">
            <w:pPr>
              <w:pStyle w:val="TableText"/>
            </w:pPr>
            <w:r>
              <w:t>Not</w:t>
            </w:r>
            <w:r w:rsidRPr="009F2B6A">
              <w:t xml:space="preserve"> statistically</w:t>
            </w:r>
            <w:r>
              <w:t xml:space="preserve"> significant</w:t>
            </w:r>
          </w:p>
          <w:p w:rsidR="006651E7" w:rsidRDefault="006651E7" w:rsidP="009D0F53">
            <w:pPr>
              <w:pStyle w:val="TableText"/>
            </w:pPr>
            <w:r w:rsidRPr="000D35F7">
              <w:rPr>
                <w:u w:val="single"/>
              </w:rPr>
              <w:t>Evening PEFR</w:t>
            </w:r>
            <w:r w:rsidRPr="0076171E">
              <w:t>,</w:t>
            </w:r>
            <w:r w:rsidRPr="009F2B6A">
              <w:t xml:space="preserve"> mean (SD</w:t>
            </w:r>
            <w:r>
              <w:t>):</w:t>
            </w:r>
          </w:p>
          <w:p w:rsidR="006651E7" w:rsidRPr="009F2B6A" w:rsidRDefault="006651E7" w:rsidP="009D0F53">
            <w:pPr>
              <w:pStyle w:val="TableText"/>
            </w:pPr>
            <w:r w:rsidRPr="009F2B6A">
              <w:t xml:space="preserve">Baseline: 253 (85) </w:t>
            </w:r>
          </w:p>
          <w:p w:rsidR="006651E7" w:rsidRPr="009F2B6A" w:rsidRDefault="006651E7" w:rsidP="009D0F53">
            <w:pPr>
              <w:pStyle w:val="TableText"/>
            </w:pPr>
            <w:r w:rsidRPr="009F2B6A">
              <w:t>6 months: 291 (83)</w:t>
            </w:r>
          </w:p>
          <w:p w:rsidR="006651E7" w:rsidRPr="006574EF" w:rsidRDefault="006651E7" w:rsidP="009D0F53">
            <w:pPr>
              <w:pStyle w:val="TableText"/>
            </w:pPr>
            <w:r>
              <w:t>Not</w:t>
            </w:r>
            <w:r w:rsidRPr="009F2B6A">
              <w:t xml:space="preserve"> statistically</w:t>
            </w:r>
            <w:r>
              <w:t xml:space="preserve"> significant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6651E7" w:rsidRPr="006574EF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2610" w:type="dxa"/>
            <w:tcBorders>
              <w:top w:val="double" w:sz="4" w:space="0" w:color="auto"/>
            </w:tcBorders>
          </w:tcPr>
          <w:p w:rsidR="006651E7" w:rsidRDefault="006651E7" w:rsidP="009D0F53">
            <w:pPr>
              <w:pStyle w:val="TableText"/>
              <w:ind w:right="-72"/>
            </w:pPr>
            <w:r>
              <w:rPr>
                <w:b/>
              </w:rPr>
              <w:t xml:space="preserve">Measurement: </w:t>
            </w:r>
            <w:r>
              <w:t>Patient diaries, 1</w:t>
            </w:r>
            <w:r w:rsidRPr="004B7958">
              <w:t>2-point scale with lower scores showing fewe</w:t>
            </w:r>
            <w:r>
              <w:t>r symptoms</w:t>
            </w:r>
          </w:p>
          <w:p w:rsidR="006651E7" w:rsidRDefault="006651E7" w:rsidP="009D0F53">
            <w:pPr>
              <w:pStyle w:val="TableText"/>
              <w:ind w:right="-72"/>
            </w:pPr>
            <w:r w:rsidRPr="000A0054">
              <w:rPr>
                <w:b/>
              </w:rPr>
              <w:t>Symptom scores</w:t>
            </w:r>
            <w:r w:rsidRPr="006574EF">
              <w:t>,</w:t>
            </w:r>
            <w:r w:rsidRPr="006574EF">
              <w:rPr>
                <w:vertAlign w:val="superscript"/>
              </w:rPr>
              <w:t xml:space="preserve"> </w:t>
            </w:r>
            <w:r w:rsidRPr="009F2B6A">
              <w:t>mean (SD):</w:t>
            </w:r>
            <w:r w:rsidRPr="006574EF">
              <w:t xml:space="preserve"> </w:t>
            </w:r>
          </w:p>
          <w:p w:rsidR="006651E7" w:rsidRPr="006574EF" w:rsidRDefault="006651E7" w:rsidP="009D0F53">
            <w:pPr>
              <w:pStyle w:val="TableText"/>
            </w:pPr>
            <w:r>
              <w:t xml:space="preserve">Comparison of arms </w:t>
            </w:r>
            <w:r w:rsidRPr="006574EF">
              <w:t xml:space="preserve">showed no difference between treatments (data shown graphically; </w:t>
            </w:r>
            <w:r>
              <w:t>p&gt;</w:t>
            </w:r>
            <w:r w:rsidRPr="006574EF">
              <w:t>0.05)</w:t>
            </w:r>
          </w:p>
          <w:p w:rsidR="006651E7" w:rsidRPr="006574EF" w:rsidRDefault="006651E7" w:rsidP="009D0F53">
            <w:pPr>
              <w:pStyle w:val="TableText"/>
            </w:pPr>
            <w:r w:rsidRPr="006574EF">
              <w:t xml:space="preserve">Baseline: 2.6 (2) </w:t>
            </w:r>
          </w:p>
          <w:p w:rsidR="006651E7" w:rsidRPr="006574EF" w:rsidRDefault="006651E7" w:rsidP="009D0F53">
            <w:pPr>
              <w:pStyle w:val="TableText"/>
            </w:pPr>
            <w:r w:rsidRPr="006574EF">
              <w:t>6 months: 1.5 (1.5)</w:t>
            </w:r>
          </w:p>
          <w:p w:rsidR="006651E7" w:rsidRPr="006574EF" w:rsidRDefault="006651E7" w:rsidP="009D0F53">
            <w:pPr>
              <w:pStyle w:val="TableText"/>
            </w:pPr>
            <w:r>
              <w:t>p&lt;</w:t>
            </w:r>
            <w:r w:rsidRPr="006574EF">
              <w:t>0.001</w:t>
            </w:r>
          </w:p>
        </w:tc>
        <w:tc>
          <w:tcPr>
            <w:tcW w:w="2969" w:type="dxa"/>
            <w:tcBorders>
              <w:top w:val="double" w:sz="4" w:space="0" w:color="auto"/>
            </w:tcBorders>
          </w:tcPr>
          <w:p w:rsidR="006651E7" w:rsidRDefault="006651E7" w:rsidP="009D0F53">
            <w:pPr>
              <w:pStyle w:val="TableText"/>
            </w:pPr>
            <w:r w:rsidRPr="00566D86">
              <w:rPr>
                <w:b/>
              </w:rPr>
              <w:t>Measurement</w:t>
            </w:r>
            <w:r w:rsidRPr="0076171E">
              <w:rPr>
                <w:b/>
              </w:rPr>
              <w:t xml:space="preserve">: </w:t>
            </w:r>
            <w:r>
              <w:t>Patients collected dust samples by vacuuming mattresses and floors; samples collected 2 times: before and after study</w:t>
            </w:r>
          </w:p>
          <w:p w:rsidR="006651E7" w:rsidRPr="006574EF" w:rsidRDefault="006651E7" w:rsidP="009D0F53">
            <w:pPr>
              <w:pStyle w:val="TableText"/>
            </w:pPr>
            <w:r w:rsidRPr="004435A5">
              <w:rPr>
                <w:b/>
              </w:rPr>
              <w:t>Acarex score</w:t>
            </w:r>
            <w:r>
              <w:t xml:space="preserve"> (mean [SD]) improved within both treatment</w:t>
            </w:r>
            <w:r w:rsidRPr="006574EF">
              <w:t xml:space="preserve"> groups over time</w:t>
            </w:r>
            <w:r>
              <w:t>:</w:t>
            </w:r>
          </w:p>
          <w:p w:rsidR="006651E7" w:rsidRPr="006574EF" w:rsidRDefault="006651E7" w:rsidP="009D0F53">
            <w:pPr>
              <w:pStyle w:val="TableText"/>
            </w:pPr>
            <w:r w:rsidRPr="006574EF">
              <w:t>Baseline: 3.5 (0.6)</w:t>
            </w:r>
          </w:p>
          <w:p w:rsidR="006651E7" w:rsidRPr="006574EF" w:rsidRDefault="006651E7" w:rsidP="009D0F53">
            <w:pPr>
              <w:pStyle w:val="TableText"/>
            </w:pPr>
            <w:r w:rsidRPr="006574EF">
              <w:t>6 months: 2.9 (0.9)</w:t>
            </w:r>
          </w:p>
          <w:p w:rsidR="006651E7" w:rsidRPr="006574EF" w:rsidRDefault="006651E7" w:rsidP="009D0F53">
            <w:pPr>
              <w:pStyle w:val="TableText"/>
            </w:pPr>
            <w:r>
              <w:t>p&lt;</w:t>
            </w:r>
            <w:r w:rsidRPr="006574EF">
              <w:t xml:space="preserve">0.001. </w:t>
            </w:r>
          </w:p>
          <w:p w:rsidR="006651E7" w:rsidRDefault="006651E7" w:rsidP="009D0F53">
            <w:pPr>
              <w:pStyle w:val="TableText"/>
            </w:pPr>
          </w:p>
          <w:p w:rsidR="006651E7" w:rsidRPr="006574EF" w:rsidRDefault="006651E7" w:rsidP="009D0F53">
            <w:pPr>
              <w:pStyle w:val="TableText"/>
            </w:pPr>
            <w:r>
              <w:t>Comparison of arms</w:t>
            </w:r>
            <w:r w:rsidRPr="006574EF">
              <w:t xml:space="preserve"> showed no difference between treatmen</w:t>
            </w:r>
            <w:r>
              <w:t>ts (data shown graphically; p&gt;</w:t>
            </w:r>
            <w:r w:rsidRPr="006574EF">
              <w:t>0.05)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31" w:type="dxa"/>
          </w:tcPr>
          <w:p w:rsidR="006651E7" w:rsidRPr="004B7958" w:rsidRDefault="006651E7" w:rsidP="009D0F53">
            <w:pPr>
              <w:pStyle w:val="TableText"/>
            </w:pPr>
            <w:r w:rsidRPr="004B7958">
              <w:lastRenderedPageBreak/>
              <w:t xml:space="preserve">van der Heide </w:t>
            </w:r>
            <w:r>
              <w:t>et al.</w:t>
            </w:r>
            <w:r w:rsidRPr="004B7958">
              <w:t xml:space="preserve"> 1997</w:t>
            </w:r>
            <w:r w:rsidR="004B1D66">
              <w:fldChar w:fldCharType="begin"/>
            </w:r>
            <w:r>
              <w:instrText xml:space="preserve"> ADDIN REFMGR.CITE &lt;Refman&gt;&lt;Cite&gt;&lt;Author&gt;Van Der&lt;/Author&gt;&lt;Year&gt;1997&lt;/Year&gt;&lt;RecNum&gt;845851&lt;/RecNum&gt;&lt;IDText&gt;Allergen-avoidance measures in homes of house-dust-mite-allergic asthmatic patients: effects of acaricides and mattress encasings&lt;/IDText&gt;&lt;MDL Ref_Type="Journal"&gt;&lt;Ref_Type&gt;Journal&lt;/Ref_Type&gt;&lt;Ref_ID&gt;845851&lt;/Ref_ID&gt;&lt;Title_Primary&gt;Allergen-avoidance measures in homes of house-dust-mite-allergic asthmatic patients: effects of acaricides and mattress encasings&lt;/Title_Primary&gt;&lt;Authors_Primary&gt;Van Der,Heide S.&lt;/Authors_Primary&gt;&lt;Authors_Primary&gt;Kauffman,H.F.&lt;/Authors_Primary&gt;&lt;Authors_Primary&gt;Dubois,A.E.J.&lt;/Authors_Primary&gt;&lt;Authors_Primary&gt;De Monchy,J.G.R.&lt;/Authors_Primary&gt;&lt;Date_Primary&gt;1997&lt;/Date_Primary&gt;&lt;Keywords&gt;acaricide (clinical trial&lt;/Keywords&gt;&lt;Keywords&gt;drug dose)&lt;/Keywords&gt;&lt;Keywords&gt;allergen&lt;/Keywords&gt;&lt;Keywords&gt;benzyl benzoate (clinical trial&lt;/Keywords&gt;&lt;Keywords&gt;drug dose)&lt;/Keywords&gt;&lt;Keywords&gt;asthma (diagnosis&lt;/Keywords&gt;&lt;Keywords&gt;prevention)&lt;/Keywords&gt;&lt;Keywords&gt;airway pressure&lt;/Keywords&gt;&lt;Keywords&gt;allergic reaction&lt;/Keywords&gt;&lt;Keywords&gt;article&lt;/Keywords&gt;&lt;Keywords&gt;clinical feature&lt;/Keywords&gt;&lt;Keywords&gt;clinical trial&lt;/Keywords&gt;&lt;Keywords&gt;controlled clinical trial&lt;/Keywords&gt;&lt;Keywords&gt;controlled study&lt;/Keywords&gt;&lt;Keywords&gt;double&lt;/Keywords&gt;&lt;Reprint&gt;Not in File&lt;/Reprint&gt;&lt;Start_Page&gt;921&lt;/Start_Page&gt;&lt;End_Page&gt;927&lt;/End_Page&gt;&lt;Periodical&gt;Allergy&lt;/Periodical&gt;&lt;Volume&gt;52&lt;/Volume&gt;&lt;Issue&gt;9&lt;/Issue&gt;&lt;User_Def_2&gt;Embase.com 7/19/2016&lt;/User_Def_2&gt;&lt;User_Def_3&gt;Given to Distiller on 10/7/2016 for EPC0039_EnviroTab&lt;/User_Def_3&gt;&lt;ISSN_ISBN&gt;9298177&lt;/ISSN_ISBN&gt;&lt;Availability&gt;Sharepoint, Distiller, EPC0039, SREMEPC39_KQ1KQ2_071916E, EPC0039_EnviroTab, HT_EPC39orderEnviro091316, EPC0039_cites_122016&lt;/Availability&gt;&lt;Address&gt;S. Van der Heide, Department of Allergology, Division of Internal Medicine, University Hospital Groningen, Hanzeplein 1, 9713 GZ Groningen, Netherlands&lt;/Address&gt;&lt;ZZ_JournalStdAbbrev&gt;&lt;f name="System"&gt;Allergy&lt;/f&gt;&lt;/ZZ_JournalStdAbbrev&gt;&lt;ZZ_WorkformID&gt;1&lt;/ZZ_WorkformID&gt;&lt;/MDL&gt;&lt;/Cite&gt;&lt;/Refman&gt;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2</w:t>
            </w:r>
            <w:r w:rsidR="004B1D66">
              <w:fldChar w:fldCharType="end"/>
            </w:r>
          </w:p>
        </w:tc>
        <w:tc>
          <w:tcPr>
            <w:tcW w:w="995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>
              <w:t>NR</w:t>
            </w:r>
          </w:p>
        </w:tc>
        <w:tc>
          <w:tcPr>
            <w:tcW w:w="4051" w:type="dxa"/>
          </w:tcPr>
          <w:p w:rsidR="006651E7" w:rsidRPr="004B7958" w:rsidRDefault="006651E7" w:rsidP="009D0F53">
            <w:pPr>
              <w:pStyle w:val="TableText"/>
            </w:pPr>
            <w:r w:rsidRPr="000A0054">
              <w:rPr>
                <w:b/>
              </w:rPr>
              <w:t>FEV</w:t>
            </w:r>
            <w:r w:rsidRPr="000A0054">
              <w:rPr>
                <w:b/>
                <w:vertAlign w:val="subscript"/>
              </w:rPr>
              <w:t>1</w:t>
            </w:r>
            <w:r w:rsidRPr="000A0054">
              <w:rPr>
                <w:b/>
              </w:rPr>
              <w:t xml:space="preserve"> and Vital Capacity:</w:t>
            </w:r>
            <w:r w:rsidRPr="004B7958">
              <w:t xml:space="preserve"> </w:t>
            </w:r>
            <w:r>
              <w:t>Comparison of arms di</w:t>
            </w:r>
            <w:r w:rsidRPr="004B7958">
              <w:t xml:space="preserve">d not </w:t>
            </w:r>
            <w:r>
              <w:t xml:space="preserve">show </w:t>
            </w:r>
            <w:r w:rsidRPr="004B7958">
              <w:t>differ</w:t>
            </w:r>
            <w:r>
              <w:t>ence</w:t>
            </w:r>
            <w:r w:rsidRPr="004B7958">
              <w:t xml:space="preserve"> between groups; data not shown</w:t>
            </w:r>
          </w:p>
          <w:p w:rsidR="006651E7" w:rsidRPr="004B7958" w:rsidRDefault="006651E7" w:rsidP="009D0F53">
            <w:pPr>
              <w:pStyle w:val="TableText"/>
            </w:pPr>
            <w:r w:rsidRPr="000A0054">
              <w:rPr>
                <w:b/>
              </w:rPr>
              <w:t>PC</w:t>
            </w:r>
            <w:r w:rsidRPr="000A0054">
              <w:rPr>
                <w:b/>
                <w:vertAlign w:val="subscript"/>
              </w:rPr>
              <w:t>20</w:t>
            </w:r>
            <w:r w:rsidRPr="000A0054">
              <w:rPr>
                <w:b/>
              </w:rPr>
              <w:t xml:space="preserve"> histamine</w:t>
            </w:r>
            <w:r w:rsidRPr="00551AB2">
              <w:rPr>
                <w:b/>
              </w:rPr>
              <w:t>:</w:t>
            </w:r>
            <w:r w:rsidRPr="004B7958">
              <w:t xml:space="preserve"> </w:t>
            </w:r>
            <w:r>
              <w:t>No comparison between arms; statistically significant improvement over baseline i</w:t>
            </w:r>
            <w:r w:rsidRPr="004B7958">
              <w:t xml:space="preserve">n </w:t>
            </w:r>
            <w:r>
              <w:t>a</w:t>
            </w:r>
            <w:r w:rsidRPr="004B7958">
              <w:t xml:space="preserve">caricide and </w:t>
            </w:r>
            <w:r>
              <w:t>m</w:t>
            </w:r>
            <w:r w:rsidRPr="004B7958">
              <w:t xml:space="preserve">attress cover </w:t>
            </w:r>
            <w:r>
              <w:t>arms</w:t>
            </w:r>
            <w:r w:rsidRPr="004B7958">
              <w:t xml:space="preserve"> (p&lt;0.05; data shown graphically); </w:t>
            </w:r>
            <w:r>
              <w:t>however, change was less than one doubling dose, which may not be clinically significant</w:t>
            </w:r>
          </w:p>
        </w:tc>
        <w:tc>
          <w:tcPr>
            <w:tcW w:w="810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610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2969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31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Chang </w:t>
            </w:r>
            <w:r>
              <w:t xml:space="preserve">et al. </w:t>
            </w:r>
            <w:r w:rsidRPr="004B7958">
              <w:t>1996</w:t>
            </w:r>
            <w:r w:rsidR="004B1D66">
              <w:fldChar w:fldCharType="begin"/>
            </w:r>
            <w:r>
              <w:instrText xml:space="preserve"> ADDIN REFMGR.CITE &lt;Refman&gt;&lt;Cite&gt;&lt;Author&gt;Chang&lt;/Author&gt;&lt;Year&gt;1996&lt;/Year&gt;&lt;RecNum&gt;845912&lt;/RecNum&gt;&lt;IDText&gt;Effect of application of benzyl benzoate on house dust mite allergen levels&lt;/IDText&gt;&lt;MDL Ref_Type="Journal"&gt;&lt;Ref_Type&gt;Journal&lt;/Ref_Type&gt;&lt;Ref_ID&gt;845912&lt;/Ref_ID&gt;&lt;Title_Primary&gt;Effect of application of benzyl benzoate on house dust mite allergen levels&lt;/Title_Primary&gt;&lt;Authors_Primary&gt;Chang,J.H.&lt;/Authors_Primary&gt;&lt;Authors_Primary&gt;Becker,A.&lt;/Authors_Primary&gt;&lt;Authors_Primary&gt;Ferguson,A.&lt;/Authors_Primary&gt;&lt;Authors_Primary&gt;Manfreda,J.&lt;/Authors_Primary&gt;&lt;Authors_Primary&gt;Simons,E.&lt;/Authors_Primary&gt;&lt;Authors_Primary&gt;Chan,H.&lt;/Authors_Primary&gt;&lt;Authors_Primary&gt;Noertjojo,K.&lt;/Authors_Primary&gt;&lt;Authors_Primary&gt;Chan-Yeung,M.&lt;/Authors_Primary&gt;&lt;Date_Primary&gt;1996/9&lt;/Date_Primary&gt;&lt;Keywords&gt;benzyl benzoate (clinical trial)&lt;/Keywords&gt;&lt;Keywords&gt;house dust allergen&lt;/Keywords&gt;&lt;Keywords&gt;bronchodilating agent (drug therapy)&lt;/Keywords&gt;&lt;Keywords&gt;methacholine&lt;/Keywords&gt;&lt;Keywords&gt;steroid (drug therapy)&lt;/Keywords&gt;&lt;Keywords&gt;asthma (diagnosis&lt;/Keywords&gt;&lt;Keywords&gt;drug therapy&lt;/Keywords&gt;&lt;Keywords&gt;etiology)&lt;/Keywords&gt;&lt;Keywords&gt;house dust allergy (diagnosis&lt;/Keywords&gt;&lt;Keywords&gt;etiology)&lt;/Keywords&gt;&lt;Keywords&gt;pest control&lt;/Keywords&gt;&lt;Keywords&gt;adult&lt;/Keywords&gt;&lt;Keywords&gt;article&lt;/Keywords&gt;&lt;Keywords&gt;bronchus re&lt;/Keywords&gt;&lt;Reprint&gt;Not in File&lt;/Reprint&gt;&lt;Start_Page&gt;187&lt;/Start_Page&gt;&lt;End_Page&gt;190&lt;/End_Page&gt;&lt;Periodical&gt;Ann Allergy Asthma Immunol&lt;/Periodical&gt;&lt;Volume&gt;77&lt;/Volume&gt;&lt;Issue&gt;3&lt;/Issue&gt;&lt;User_Def_2&gt;Embase.com 7/19/2016&lt;/User_Def_2&gt;&lt;User_Def_3&gt;Given to Distiller on 10/11/2016 for EPC0039_EnviroTab&lt;/User_Def_3&gt;&lt;ISSN_ISBN&gt;8814042&lt;/ISSN_ISBN&gt;&lt;Availability&gt;Sharepoint, Distiller, EPC0039, SREMEPC39_KQ1KQ2_071916E, EPC0039_EnviroTab, HT_EPC39orderEnviro091316, EPC0039_cites_122016&lt;/Availability&gt;&lt;Address&gt;M. Chan-Yeung, Respiratory Division, Vancouver Hospital/Health Sci. Ctr., University of British Columbia, 2775 Heather St, Vancouver, BC V5Z 3J5, Canada&lt;/Address&gt;&lt;ZZ_JournalStdAbbrev&gt;&lt;f name="System"&gt;Ann Allergy Asthma Immunol&lt;/f&gt;&lt;/ZZ_JournalStdAbbrev&gt;&lt;ZZ_WorkformID&gt;1&lt;/ZZ_WorkformID&gt;&lt;/MDL&gt;&lt;/Cite&gt;&lt;/Refman&gt;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3</w:t>
            </w:r>
            <w:r w:rsidR="004B1D66">
              <w:fldChar w:fldCharType="end"/>
            </w:r>
          </w:p>
        </w:tc>
        <w:tc>
          <w:tcPr>
            <w:tcW w:w="995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>
              <w:t>NR</w:t>
            </w:r>
          </w:p>
        </w:tc>
        <w:tc>
          <w:tcPr>
            <w:tcW w:w="4051" w:type="dxa"/>
          </w:tcPr>
          <w:p w:rsidR="006651E7" w:rsidRPr="004B7958" w:rsidRDefault="006651E7" w:rsidP="009D0F53">
            <w:pPr>
              <w:pStyle w:val="TableText"/>
            </w:pPr>
            <w:r w:rsidRPr="00067373">
              <w:rPr>
                <w:b/>
              </w:rPr>
              <w:t>Spirometry at 3-month followup</w:t>
            </w:r>
            <w:r w:rsidRPr="002D0D3A">
              <w:rPr>
                <w:b/>
              </w:rPr>
              <w:t>:</w:t>
            </w:r>
            <w:r w:rsidRPr="004B7958">
              <w:rPr>
                <w:i/>
              </w:rPr>
              <w:t xml:space="preserve"> </w:t>
            </w:r>
            <w:r>
              <w:t>Comparison of arms showed no</w:t>
            </w:r>
            <w:r w:rsidRPr="004B7958">
              <w:t xml:space="preserve"> difference </w:t>
            </w:r>
            <w:r>
              <w:t xml:space="preserve">between arms </w:t>
            </w:r>
            <w:r w:rsidRPr="004B7958">
              <w:t>or over time</w:t>
            </w:r>
            <w:r>
              <w:t xml:space="preserve">, </w:t>
            </w:r>
            <w:r w:rsidRPr="004B7958">
              <w:t xml:space="preserve">for any outcomes. Test statistics </w:t>
            </w:r>
            <w:r>
              <w:t>NR</w:t>
            </w:r>
            <w:r w:rsidRPr="004B7958">
              <w:t>.</w:t>
            </w:r>
          </w:p>
          <w:p w:rsidR="006651E7" w:rsidRPr="00566D86" w:rsidRDefault="006651E7" w:rsidP="009D0F53">
            <w:pPr>
              <w:pStyle w:val="TableText"/>
              <w:spacing w:before="60"/>
            </w:pPr>
            <w:r w:rsidRPr="000D35F7">
              <w:rPr>
                <w:u w:val="single"/>
              </w:rPr>
              <w:t>FEV</w:t>
            </w:r>
            <w:r w:rsidRPr="000D35F7">
              <w:rPr>
                <w:u w:val="single"/>
                <w:vertAlign w:val="subscript"/>
              </w:rPr>
              <w:t>1</w:t>
            </w:r>
            <w:r>
              <w:rPr>
                <w:i/>
              </w:rPr>
              <w:t xml:space="preserve">, </w:t>
            </w:r>
            <w:r w:rsidRPr="00566D86">
              <w:t>% mean (SD)</w:t>
            </w:r>
            <w: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87% (20%)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 xml:space="preserve">Control: 90% (15%) </w:t>
            </w:r>
          </w:p>
          <w:p w:rsidR="006651E7" w:rsidRPr="00566D86" w:rsidRDefault="006651E7" w:rsidP="009D0F53">
            <w:pPr>
              <w:pStyle w:val="TableText"/>
              <w:spacing w:before="60"/>
            </w:pPr>
            <w:r w:rsidRPr="000D35F7">
              <w:rPr>
                <w:u w:val="single"/>
              </w:rPr>
              <w:t>PEFR</w:t>
            </w:r>
            <w:r w:rsidRPr="00566D86">
              <w:t>,</w:t>
            </w:r>
            <w:r w:rsidRPr="002D0D3A">
              <w:rPr>
                <w:i/>
              </w:rPr>
              <w:t xml:space="preserve"> </w:t>
            </w:r>
            <w:r w:rsidRPr="00566D86">
              <w:t>L/min, mean (SD)</w:t>
            </w:r>
            <w: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411 (75)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383 (100)</w:t>
            </w:r>
          </w:p>
          <w:p w:rsidR="006651E7" w:rsidRPr="00566D86" w:rsidRDefault="006651E7" w:rsidP="009D0F53">
            <w:pPr>
              <w:pStyle w:val="TableText"/>
              <w:spacing w:before="60"/>
            </w:pPr>
            <w:r w:rsidRPr="000D35F7">
              <w:rPr>
                <w:u w:val="single"/>
              </w:rPr>
              <w:t>PC</w:t>
            </w:r>
            <w:r w:rsidRPr="000D35F7">
              <w:rPr>
                <w:u w:val="single"/>
                <w:vertAlign w:val="subscript"/>
              </w:rPr>
              <w:t>20</w:t>
            </w:r>
            <w:r w:rsidRPr="003A410A">
              <w:t>,</w:t>
            </w:r>
            <w:r w:rsidRPr="00566D86">
              <w:t xml:space="preserve"> mg/mL, mean (SD)</w:t>
            </w:r>
            <w: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0.87 (2.29)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0.82 (3.84)</w:t>
            </w:r>
          </w:p>
        </w:tc>
        <w:tc>
          <w:tcPr>
            <w:tcW w:w="810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610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2969" w:type="dxa"/>
          </w:tcPr>
          <w:p w:rsidR="006651E7" w:rsidRDefault="006651E7" w:rsidP="009D0F53">
            <w:pPr>
              <w:pStyle w:val="TableText"/>
            </w:pPr>
            <w:r w:rsidRPr="000D35F7">
              <w:rPr>
                <w:b/>
              </w:rPr>
              <w:t>Measurement</w:t>
            </w:r>
            <w:r w:rsidRPr="003A410A">
              <w:rPr>
                <w:b/>
              </w:rPr>
              <w:t>:</w:t>
            </w:r>
            <w:r>
              <w:t xml:space="preserve"> Dust samples collected by vacuuming mattresses and floors; study does not report who collected samples; samples were collected 5 times before and throughout the study period</w:t>
            </w:r>
          </w:p>
          <w:p w:rsidR="006651E7" w:rsidRPr="004B7958" w:rsidRDefault="006651E7" w:rsidP="009D0F53">
            <w:pPr>
              <w:pStyle w:val="TableText"/>
              <w:spacing w:before="120"/>
            </w:pPr>
            <w:r>
              <w:rPr>
                <w:u w:val="single"/>
              </w:rPr>
              <w:t>HD</w:t>
            </w:r>
            <w:r w:rsidRPr="000D35F7">
              <w:rPr>
                <w:u w:val="single"/>
              </w:rPr>
              <w:t xml:space="preserve">M </w:t>
            </w:r>
            <w:r>
              <w:rPr>
                <w:u w:val="single"/>
              </w:rPr>
              <w:t>a</w:t>
            </w:r>
            <w:r w:rsidRPr="000D35F7">
              <w:rPr>
                <w:u w:val="single"/>
              </w:rPr>
              <w:t>llergen, Mattress</w:t>
            </w:r>
            <w:r w:rsidRPr="004B7958">
              <w:t xml:space="preserve"> </w:t>
            </w:r>
            <w:r>
              <w:t>mcg/g </w:t>
            </w:r>
            <w:r w:rsidRPr="004B7958">
              <w:t>dust</w:t>
            </w:r>
            <w:r>
              <w:t>, (SD</w:t>
            </w:r>
            <w:r w:rsidRPr="004B7958">
              <w:t>)</w:t>
            </w:r>
            <w:r>
              <w:t>:</w:t>
            </w:r>
          </w:p>
          <w:p w:rsidR="006651E7" w:rsidRDefault="006651E7" w:rsidP="009D0F53">
            <w:pPr>
              <w:pStyle w:val="TableText"/>
            </w:pPr>
            <w:r w:rsidRPr="000D35F7">
              <w:t>Acarosan baseline:</w:t>
            </w:r>
            <w:r w:rsidRPr="004B7958">
              <w:t xml:space="preserve"> 2.17 (2.64)</w:t>
            </w:r>
          </w:p>
          <w:p w:rsidR="006651E7" w:rsidRPr="004B7958" w:rsidRDefault="006651E7" w:rsidP="009D0F53">
            <w:pPr>
              <w:pStyle w:val="TableText"/>
            </w:pPr>
            <w:r>
              <w:t>Acarosan 3 months: 0.06 (1.12)</w:t>
            </w:r>
          </w:p>
          <w:p w:rsidR="006651E7" w:rsidRDefault="006651E7" w:rsidP="009D0F53">
            <w:pPr>
              <w:pStyle w:val="TableText"/>
            </w:pPr>
            <w:r w:rsidRPr="004B7958">
              <w:t>Control</w:t>
            </w:r>
            <w:r>
              <w:t xml:space="preserve"> baseline</w:t>
            </w:r>
            <w:r w:rsidRPr="004B7958">
              <w:t>: 1.68 (2.22)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Control </w:t>
            </w:r>
            <w:r w:rsidRPr="000D35F7">
              <w:t>3 months:</w:t>
            </w:r>
            <w:r>
              <w:t xml:space="preserve"> </w:t>
            </w:r>
            <w:r w:rsidRPr="004B7958">
              <w:t xml:space="preserve">0.28 (1.32) </w:t>
            </w:r>
          </w:p>
          <w:p w:rsidR="006651E7" w:rsidRPr="004B7958" w:rsidRDefault="006651E7" w:rsidP="009D0F53">
            <w:pPr>
              <w:pStyle w:val="TableText"/>
            </w:pPr>
            <w:r>
              <w:t>Comparison of arms showed no difference, but a</w:t>
            </w:r>
            <w:r w:rsidRPr="004B7958">
              <w:t>llergen levels</w:t>
            </w:r>
            <w:r>
              <w:t xml:space="preserve"> were </w:t>
            </w:r>
            <w:r w:rsidRPr="004B7958">
              <w:t xml:space="preserve">reduced </w:t>
            </w:r>
            <w:r>
              <w:t>with</w:t>
            </w:r>
            <w:r w:rsidRPr="004B7958">
              <w:t xml:space="preserve">in both groups </w:t>
            </w:r>
            <w:r>
              <w:t xml:space="preserve">over baseline </w:t>
            </w:r>
            <w:r w:rsidRPr="004B7958">
              <w:t>(</w:t>
            </w:r>
            <w:r>
              <w:t>p&lt;</w:t>
            </w:r>
            <w:r w:rsidRPr="004B7958">
              <w:t>0.05)</w:t>
            </w:r>
          </w:p>
          <w:p w:rsidR="006651E7" w:rsidRPr="004B7958" w:rsidRDefault="006651E7" w:rsidP="009D0F53">
            <w:pPr>
              <w:pStyle w:val="TableText"/>
            </w:pPr>
            <w:r w:rsidRPr="000D35F7">
              <w:rPr>
                <w:u w:val="single"/>
              </w:rPr>
              <w:t>HDM allergen, Floor</w:t>
            </w:r>
            <w:r>
              <w:t xml:space="preserve"> mcg/g </w:t>
            </w:r>
            <w:r w:rsidRPr="004B7958">
              <w:t>dust</w:t>
            </w:r>
            <w:r>
              <w:t>, (SD</w:t>
            </w:r>
            <w:r w:rsidRPr="004B7958">
              <w:t>)</w:t>
            </w:r>
            <w:r>
              <w:t>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</w:t>
            </w:r>
            <w:r>
              <w:t xml:space="preserve"> baseline</w:t>
            </w:r>
            <w:r w:rsidRPr="004B7958">
              <w:t>: 2.38 (2.64)</w:t>
            </w:r>
          </w:p>
          <w:p w:rsidR="006651E7" w:rsidRDefault="006651E7" w:rsidP="009D0F53">
            <w:pPr>
              <w:pStyle w:val="TableText"/>
            </w:pPr>
            <w:r>
              <w:t>Acarosan 3 months: 0.50 (1.71)</w:t>
            </w:r>
          </w:p>
          <w:p w:rsidR="006651E7" w:rsidRDefault="006651E7" w:rsidP="009D0F53">
            <w:pPr>
              <w:pStyle w:val="TableText"/>
            </w:pPr>
            <w:r w:rsidRPr="004B7958">
              <w:t>Control</w:t>
            </w:r>
            <w:r>
              <w:t xml:space="preserve"> baseline</w:t>
            </w:r>
            <w:r w:rsidRPr="004B7958">
              <w:t xml:space="preserve">: 2.05 (2.05) 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Control 3 months: </w:t>
            </w:r>
            <w:r w:rsidRPr="004B7958">
              <w:t xml:space="preserve">1.10 (2.17) </w:t>
            </w:r>
          </w:p>
          <w:p w:rsidR="006651E7" w:rsidRPr="004B7958" w:rsidRDefault="006651E7" w:rsidP="009D0F53">
            <w:pPr>
              <w:pStyle w:val="TableText"/>
            </w:pPr>
            <w:r>
              <w:t>Comparison of arms showed no difference, but a</w:t>
            </w:r>
            <w:r w:rsidRPr="004B7958">
              <w:t xml:space="preserve">llergen levels </w:t>
            </w:r>
            <w:r>
              <w:t xml:space="preserve">were </w:t>
            </w:r>
            <w:r w:rsidRPr="004B7958">
              <w:t xml:space="preserve">reduced </w:t>
            </w:r>
            <w:r>
              <w:t xml:space="preserve">over baseline in </w:t>
            </w:r>
            <w:r w:rsidRPr="004B7958">
              <w:t xml:space="preserve">Acarosan </w:t>
            </w:r>
            <w:r>
              <w:t xml:space="preserve">arm </w:t>
            </w:r>
            <w:r w:rsidRPr="004B7958">
              <w:t>(</w:t>
            </w:r>
            <w:r>
              <w:t>p&lt;</w:t>
            </w:r>
            <w:r w:rsidRPr="004B7958">
              <w:t>0.05)</w:t>
            </w:r>
          </w:p>
        </w:tc>
      </w:tr>
      <w:tr w:rsidR="006651E7" w:rsidRPr="004B7958" w:rsidTr="009D0F53">
        <w:trPr>
          <w:trHeight w:val="20"/>
        </w:trPr>
        <w:tc>
          <w:tcPr>
            <w:tcW w:w="1531" w:type="dxa"/>
          </w:tcPr>
          <w:p w:rsidR="006651E7" w:rsidRPr="004B7958" w:rsidRDefault="006651E7" w:rsidP="009D0F53">
            <w:pPr>
              <w:pStyle w:val="TableText"/>
              <w:pageBreakBefore/>
            </w:pPr>
            <w:r w:rsidRPr="004B7958">
              <w:lastRenderedPageBreak/>
              <w:t xml:space="preserve">Geller-Bernstein </w:t>
            </w:r>
            <w:r>
              <w:t xml:space="preserve">et al. </w:t>
            </w:r>
            <w:r w:rsidRPr="004B7958">
              <w:t>1995</w:t>
            </w:r>
            <w:r w:rsidR="004B1D66">
              <w:fldChar w:fldCharType="begin"/>
            </w:r>
            <w:r>
              <w:instrText xml:space="preserve"> ADDIN REFMGR.CITE &lt;Refman&gt;&lt;Cite&gt;&lt;Author&gt;Geller-Bernstein&lt;/Author&gt;&lt;Year&gt;1995&lt;/Year&gt;&lt;RecNum&gt;845958&lt;/RecNum&gt;&lt;IDText&gt;Efficacy of the acaricide: acardust for the prevention of asthma and rhinitis due to dust mite allergy, in children&lt;/IDText&gt;&lt;MDL Ref_Type="Journal"&gt;&lt;Ref_Type&gt;Journal&lt;/Ref_Type&gt;&lt;Ref_ID&gt;845958&lt;/Ref_ID&gt;&lt;Title_Primary&gt;Efficacy of the acaricide: acardust for the prevention of asthma and rhinitis due to dust mite allergy, in children&lt;/Title_Primary&gt;&lt;Authors_Primary&gt;Geller-Bernstein,C.&lt;/Authors_Primary&gt;&lt;Authors_Primary&gt;Pibourdin,J.M.&lt;/Authors_Primary&gt;&lt;Authors_Primary&gt;Dornelas,A.&lt;/Authors_Primary&gt;&lt;Authors_Primary&gt;Fondarai,J.&lt;/Authors_Primary&gt;&lt;Date_Primary&gt;1995&lt;/Date_Primary&gt;&lt;Keywords&gt;acaricide (drug toxicity&lt;/Keywords&gt;&lt;Keywords&gt;pharmacology)&lt;/Keywords&gt;&lt;Keywords&gt;immunoglobulin E (endogenous compound)&lt;/Keywords&gt;&lt;Keywords&gt;acardust (drug toxicity&lt;/Keywords&gt;&lt;Keywords&gt;pharmacology)&lt;/Keywords&gt;&lt;Keywords&gt;unclassified drug&lt;/Keywords&gt;&lt;Keywords&gt;allergic asthma (prevention)&lt;/Keywords&gt;&lt;Keywords&gt;allergic rhinitis (prevention)&lt;/Keywords&gt;&lt;Keywords&gt;article&lt;/Keywords&gt;&lt;Keywords&gt;child&lt;/Keywords&gt;&lt;Keywords&gt;clinical article&lt;/Keywords&gt;&lt;Keywords&gt;clinical trial&lt;/Keywords&gt;&lt;Keywords&gt;contro&lt;/Keywords&gt;&lt;Reprint&gt;Not in File&lt;/Reprint&gt;&lt;Start_Page&gt;147&lt;/Start_Page&gt;&lt;End_Page&gt;154&lt;/End_Page&gt;&lt;Periodical&gt;Allerg Immunol (Paris)&lt;/Periodical&gt;&lt;Volume&gt;27&lt;/Volume&gt;&lt;Issue&gt;5&lt;/Issue&gt;&lt;User_Def_2&gt;Embase.com 7/19/2016&lt;/User_Def_2&gt;&lt;User_Def_3&gt;Given to Distiller on 10/14/2016 for EPC0039_EnviroTab&lt;/User_Def_3&gt;&lt;ISSN_ISBN&gt;7662102&lt;/ISSN_ISBN&gt;&lt;Availability&gt;Sharepoint, Distiller, EPC0039, SREMEPC39_KQ1KQ2_071916E, EPC0039_EnviroTab, HT_EPC39orderEnviro091316, EPC0039_cites_122016&lt;/Availability&gt;&lt;Address&gt;C. Geller-Bernstein, Kaplan Hospital, Zamenhof Allergy Clinics, Tel Aviv, Israel&lt;/Address&gt;&lt;ZZ_JournalStdAbbrev&gt;&lt;f name="System"&gt;Allerg Immunol (Paris)&lt;/f&gt;&lt;/ZZ_JournalStdAbbrev&gt;&lt;ZZ_WorkformID&gt;1&lt;/ZZ_WorkformID&gt;&lt;/MDL&gt;&lt;/Cite&gt;&lt;/Refman&gt;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4</w:t>
            </w:r>
            <w:r w:rsidR="004B1D66">
              <w:fldChar w:fldCharType="end"/>
            </w:r>
          </w:p>
        </w:tc>
        <w:tc>
          <w:tcPr>
            <w:tcW w:w="995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>
              <w:t>NR</w:t>
            </w:r>
          </w:p>
        </w:tc>
        <w:tc>
          <w:tcPr>
            <w:tcW w:w="4051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810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610" w:type="dxa"/>
          </w:tcPr>
          <w:p w:rsidR="006651E7" w:rsidRPr="00B40C8F" w:rsidRDefault="006651E7" w:rsidP="009D0F53">
            <w:pPr>
              <w:pStyle w:val="TableText"/>
            </w:pPr>
            <w:r>
              <w:rPr>
                <w:b/>
              </w:rPr>
              <w:t>Measurement:</w:t>
            </w:r>
            <w:r>
              <w:t xml:space="preserve"> For the measures of </w:t>
            </w:r>
            <w:r w:rsidRPr="00B40C8F">
              <w:t>daily activity disruption,</w:t>
            </w:r>
            <w:r>
              <w:t xml:space="preserve"> and </w:t>
            </w:r>
            <w:r w:rsidRPr="00B40C8F">
              <w:t>wheezing frequency,</w:t>
            </w:r>
            <w:r>
              <w:t xml:space="preserve"> scores were derived from patient diaries (completed 2 times per week) using a 4-point Likert scale with lower scores showing fewer symptoms; for the measures of parent and doctor evaluation of severity, scores were derived from a 100-point visual analog scale completed 1 time each month, with lower scores showing less severity</w:t>
            </w:r>
          </w:p>
          <w:p w:rsidR="006651E7" w:rsidRPr="004435A5" w:rsidRDefault="006651E7" w:rsidP="009D0F53">
            <w:pPr>
              <w:pStyle w:val="TableText"/>
            </w:pPr>
            <w:r w:rsidRPr="00067373">
              <w:rPr>
                <w:b/>
              </w:rPr>
              <w:t>Daily activity disruption</w:t>
            </w:r>
            <w:r>
              <w:t>, mean:</w:t>
            </w:r>
          </w:p>
          <w:p w:rsidR="006651E7" w:rsidRDefault="006651E7" w:rsidP="009D0F53">
            <w:pPr>
              <w:pStyle w:val="TableText"/>
            </w:pPr>
            <w:r w:rsidRPr="004B7958">
              <w:t>Acardust</w:t>
            </w:r>
            <w:r>
              <w:t xml:space="preserve"> baseline</w:t>
            </w:r>
            <w:r w:rsidRPr="004B7958">
              <w:t>:</w:t>
            </w:r>
            <w:r>
              <w:t xml:space="preserve"> 1.17</w:t>
            </w:r>
          </w:p>
          <w:p w:rsidR="006651E7" w:rsidRPr="004B7958" w:rsidRDefault="006651E7" w:rsidP="009D0F53">
            <w:pPr>
              <w:pStyle w:val="TableText"/>
            </w:pPr>
            <w:r>
              <w:t>Acardust 6 months:</w:t>
            </w:r>
            <w:r w:rsidRPr="004B7958">
              <w:t xml:space="preserve"> 0.13</w:t>
            </w:r>
          </w:p>
          <w:p w:rsidR="006651E7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baseline: 0.94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Placebo 6 months: </w:t>
            </w:r>
            <w:r w:rsidRPr="004B7958">
              <w:t>0.27</w:t>
            </w:r>
          </w:p>
          <w:p w:rsidR="006651E7" w:rsidRDefault="006651E7" w:rsidP="009D0F53">
            <w:pPr>
              <w:pStyle w:val="TableText"/>
            </w:pPr>
            <w:r>
              <w:t>Acardust vs. placebo: p=</w:t>
            </w:r>
            <w:r w:rsidRPr="004B7958">
              <w:t>0.02</w:t>
            </w:r>
          </w:p>
          <w:p w:rsidR="006651E7" w:rsidRPr="00F32E42" w:rsidRDefault="006651E7" w:rsidP="009D0F53">
            <w:pPr>
              <w:pStyle w:val="TableText"/>
            </w:pPr>
            <w:r w:rsidRPr="00067373">
              <w:rPr>
                <w:b/>
              </w:rPr>
              <w:t>Wheezing frequency</w:t>
            </w:r>
            <w:r>
              <w:t>, mean:</w:t>
            </w:r>
          </w:p>
          <w:p w:rsidR="006651E7" w:rsidRDefault="006651E7" w:rsidP="009D0F53">
            <w:pPr>
              <w:pStyle w:val="TableText"/>
            </w:pPr>
            <w:r w:rsidRPr="004B7958">
              <w:t>Acardust</w:t>
            </w:r>
            <w:r>
              <w:t xml:space="preserve"> baseline: 1.94</w:t>
            </w:r>
          </w:p>
          <w:p w:rsidR="006651E7" w:rsidRPr="004B7958" w:rsidRDefault="006651E7" w:rsidP="009D0F53">
            <w:pPr>
              <w:pStyle w:val="TableText"/>
            </w:pPr>
            <w:r>
              <w:t>Acardust 6 months</w:t>
            </w:r>
            <w:r w:rsidRPr="004B7958">
              <w:t>: 0.67</w:t>
            </w:r>
          </w:p>
          <w:p w:rsidR="006651E7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baseline: 2.06</w:t>
            </w:r>
          </w:p>
          <w:p w:rsidR="006651E7" w:rsidRPr="004B7958" w:rsidRDefault="006651E7" w:rsidP="009D0F53">
            <w:pPr>
              <w:pStyle w:val="TableText"/>
            </w:pPr>
            <w:r>
              <w:t>Placebo 6 months</w:t>
            </w:r>
            <w:r w:rsidRPr="004B7958">
              <w:t>: 0.73</w:t>
            </w:r>
          </w:p>
          <w:p w:rsidR="006651E7" w:rsidRPr="004B7958" w:rsidRDefault="006651E7" w:rsidP="009D0F53">
            <w:pPr>
              <w:pStyle w:val="TableText"/>
            </w:pPr>
            <w:r>
              <w:t>Acardust vs. placebo: p=0.1</w:t>
            </w:r>
          </w:p>
          <w:p w:rsidR="006651E7" w:rsidRPr="004435A5" w:rsidRDefault="006651E7" w:rsidP="009D0F53">
            <w:pPr>
              <w:pStyle w:val="TableText"/>
            </w:pPr>
            <w:r w:rsidRPr="00067373">
              <w:rPr>
                <w:b/>
              </w:rPr>
              <w:t>Parent evaluation of severity</w:t>
            </w:r>
            <w:r>
              <w:t>, mean:</w:t>
            </w:r>
          </w:p>
          <w:p w:rsidR="006651E7" w:rsidRDefault="006651E7" w:rsidP="009D0F53">
            <w:pPr>
              <w:pStyle w:val="TableText"/>
            </w:pPr>
            <w:r w:rsidRPr="004B7958">
              <w:t>Acardust</w:t>
            </w:r>
            <w:r>
              <w:t xml:space="preserve"> baseline: 34.83</w:t>
            </w:r>
          </w:p>
          <w:p w:rsidR="006651E7" w:rsidRPr="004B7958" w:rsidRDefault="006651E7" w:rsidP="009D0F53">
            <w:pPr>
              <w:pStyle w:val="TableText"/>
            </w:pPr>
            <w:r>
              <w:t>Acardust 6 months</w:t>
            </w:r>
            <w:r w:rsidRPr="004B7958">
              <w:t>: 5.47</w:t>
            </w:r>
          </w:p>
          <w:p w:rsidR="006651E7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baseline: 29.88</w:t>
            </w:r>
          </w:p>
          <w:p w:rsidR="006651E7" w:rsidRPr="004B7958" w:rsidRDefault="006651E7" w:rsidP="009D0F53">
            <w:pPr>
              <w:pStyle w:val="TableText"/>
            </w:pPr>
            <w:r>
              <w:t>Placebo 6 months</w:t>
            </w:r>
            <w:r w:rsidRPr="004B7958">
              <w:t>: 6.60</w:t>
            </w:r>
          </w:p>
          <w:p w:rsidR="006651E7" w:rsidRPr="004B7958" w:rsidRDefault="006651E7" w:rsidP="009D0F53">
            <w:pPr>
              <w:pStyle w:val="TableText"/>
            </w:pPr>
            <w:r>
              <w:t>Acardust vs. placebo: p=</w:t>
            </w:r>
            <w:r w:rsidRPr="004B7958">
              <w:t>0.001</w:t>
            </w:r>
          </w:p>
          <w:p w:rsidR="006651E7" w:rsidRPr="00F32E42" w:rsidRDefault="006651E7" w:rsidP="009D0F53">
            <w:pPr>
              <w:pStyle w:val="TableText"/>
            </w:pPr>
            <w:r w:rsidRPr="00067373">
              <w:rPr>
                <w:b/>
              </w:rPr>
              <w:t>Doctor evaluation of severity</w:t>
            </w:r>
            <w:r>
              <w:t>, mean:</w:t>
            </w:r>
          </w:p>
          <w:p w:rsidR="006651E7" w:rsidRDefault="006651E7" w:rsidP="009D0F53">
            <w:pPr>
              <w:pStyle w:val="TableText"/>
            </w:pPr>
            <w:r w:rsidRPr="004B7958">
              <w:t>Acardust</w:t>
            </w:r>
            <w:r>
              <w:t xml:space="preserve"> baseline: 34.56</w:t>
            </w:r>
          </w:p>
          <w:p w:rsidR="006651E7" w:rsidRPr="004B7958" w:rsidRDefault="006651E7" w:rsidP="009D0F53">
            <w:pPr>
              <w:pStyle w:val="TableText"/>
            </w:pPr>
            <w:r>
              <w:t>Acardust 6 months</w:t>
            </w:r>
            <w:r w:rsidRPr="004B7958">
              <w:t>: 4.20</w:t>
            </w:r>
          </w:p>
          <w:p w:rsidR="006651E7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baseline: 29.65</w:t>
            </w:r>
          </w:p>
          <w:p w:rsidR="006651E7" w:rsidRPr="004B7958" w:rsidRDefault="006651E7" w:rsidP="009D0F53">
            <w:pPr>
              <w:pStyle w:val="TableText"/>
            </w:pPr>
            <w:r>
              <w:t>Placebo 6 months</w:t>
            </w:r>
            <w:r w:rsidRPr="004B7958">
              <w:t>: 6.00</w:t>
            </w:r>
          </w:p>
          <w:p w:rsidR="006651E7" w:rsidRPr="004B7958" w:rsidRDefault="006651E7" w:rsidP="009D0F53">
            <w:pPr>
              <w:pStyle w:val="TableText"/>
            </w:pPr>
            <w:r>
              <w:t>Acardust vs. placebo: p=</w:t>
            </w:r>
            <w:r w:rsidRPr="004B7958">
              <w:t>0.04</w:t>
            </w:r>
          </w:p>
        </w:tc>
        <w:tc>
          <w:tcPr>
            <w:tcW w:w="2969" w:type="dxa"/>
          </w:tcPr>
          <w:p w:rsidR="006651E7" w:rsidRDefault="006651E7" w:rsidP="009D0F53">
            <w:pPr>
              <w:pStyle w:val="TableText"/>
            </w:pPr>
            <w:r w:rsidRPr="006D301F">
              <w:rPr>
                <w:b/>
              </w:rPr>
              <w:t>Measurement</w:t>
            </w:r>
            <w:r>
              <w:t>: Patients collected dust samples by vacuuming mattresses; samples were collected 5 times before and throughout the study period</w:t>
            </w:r>
          </w:p>
          <w:p w:rsidR="006651E7" w:rsidRPr="00F915C7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6D301F">
              <w:rPr>
                <w:u w:val="single"/>
              </w:rPr>
              <w:t>HDM allergen</w:t>
            </w:r>
            <w:r w:rsidRPr="004B7958">
              <w:t xml:space="preserve"> mcg/g dust</w:t>
            </w:r>
            <w:r>
              <w:t xml:space="preserve"> (SD</w:t>
            </w:r>
            <w:r w:rsidRPr="004B7958">
              <w:t>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Acardust</w:t>
            </w:r>
            <w:r>
              <w:t xml:space="preserve"> baseline</w:t>
            </w:r>
            <w:r w:rsidRPr="004B7958">
              <w:t>: 10.05 (13.74)</w:t>
            </w:r>
          </w:p>
          <w:p w:rsidR="006651E7" w:rsidRDefault="006651E7" w:rsidP="009D0F53">
            <w:pPr>
              <w:pStyle w:val="TableText"/>
            </w:pPr>
            <w:r>
              <w:t>Acardust 6 months: 4.15 (6.51)</w:t>
            </w:r>
          </w:p>
          <w:p w:rsidR="006651E7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baseline</w:t>
            </w:r>
            <w:r w:rsidRPr="004B7958">
              <w:t>: 6.01 (8.01)</w:t>
            </w:r>
          </w:p>
          <w:p w:rsidR="006651E7" w:rsidRDefault="006651E7" w:rsidP="009D0F53">
            <w:pPr>
              <w:pStyle w:val="TableText"/>
            </w:pPr>
            <w:r>
              <w:t xml:space="preserve">Placebo 6 months: </w:t>
            </w:r>
            <w:r w:rsidRPr="004B7958">
              <w:t>3.01 (4.33)</w:t>
            </w:r>
          </w:p>
          <w:p w:rsidR="006651E7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 w:rsidRPr="005B66E8">
              <w:t xml:space="preserve">Allergen counts decreased to a greater degree </w:t>
            </w:r>
            <w:r>
              <w:t xml:space="preserve">over baseline </w:t>
            </w:r>
            <w:r w:rsidRPr="005B66E8">
              <w:t>in the Acardust grou</w:t>
            </w:r>
            <w:r w:rsidRPr="004B7958">
              <w:t>p (</w:t>
            </w:r>
            <w:r>
              <w:t>p=</w:t>
            </w:r>
            <w:r w:rsidRPr="004B7958">
              <w:t>0.02)</w:t>
            </w:r>
          </w:p>
          <w:p w:rsidR="006651E7" w:rsidRPr="004B7958" w:rsidRDefault="006651E7" w:rsidP="009D0F53">
            <w:pPr>
              <w:pStyle w:val="TableText"/>
            </w:pPr>
          </w:p>
        </w:tc>
      </w:tr>
      <w:tr w:rsidR="006651E7" w:rsidRPr="004B7958" w:rsidTr="009D0F53">
        <w:trPr>
          <w:cantSplit/>
          <w:trHeight w:val="20"/>
        </w:trPr>
        <w:tc>
          <w:tcPr>
            <w:tcW w:w="1531" w:type="dxa"/>
          </w:tcPr>
          <w:p w:rsidR="006651E7" w:rsidRPr="004B7958" w:rsidRDefault="006651E7" w:rsidP="009D0F53">
            <w:pPr>
              <w:pStyle w:val="TableText"/>
            </w:pPr>
            <w:r w:rsidRPr="004B7958">
              <w:lastRenderedPageBreak/>
              <w:t xml:space="preserve">Sette </w:t>
            </w:r>
            <w:r>
              <w:t xml:space="preserve">et al. </w:t>
            </w:r>
            <w:r w:rsidRPr="004B7958">
              <w:t>1994</w:t>
            </w:r>
            <w:r w:rsidR="004B1D66">
              <w:fldChar w:fldCharType="begin"/>
            </w:r>
            <w:r>
              <w:instrText xml:space="preserve"> ADDIN REFMGR.CITE &lt;Refman&gt;&lt;Cite&gt;&lt;Author&gt;Sette&lt;/Author&gt;&lt;Year&gt;1994&lt;/Year&gt;&lt;RecNum&gt;845993&lt;/RecNum&gt;&lt;IDText&gt;Benzyl-benzoate foam: effects on mite allergens in mattress, serum and nasal secretory IgE to dermatophagoides pteronyssinus, and bronchial hyperreactivity in children with allergic asthma&lt;/IDText&gt;&lt;MDL Ref_Type="Journal"&gt;&lt;Ref_Type&gt;Journal&lt;/Ref_Type&gt;&lt;Ref_ID&gt;845993&lt;/Ref_ID&gt;&lt;Title_Primary&gt;Benzyl-benzoate foam: effects on mite allergens in mattress, serum and nasal secretory IgE to dermatophagoides pteronyssinus, and bronchial hyperreactivity in children with allergic asthma&lt;/Title_Primary&gt;&lt;Authors_Primary&gt;Sette,L.&lt;/Authors_Primary&gt;&lt;Authors_Primary&gt;Comis,A.&lt;/Authors_Primary&gt;&lt;Authors_Primary&gt;Marcucci,F.&lt;/Authors_Primary&gt;&lt;Authors_Primary&gt;Sensi,L.&lt;/Authors_Primary&gt;&lt;Authors_Primary&gt;Piacentini,G.L.&lt;/Authors_Primary&gt;&lt;Authors_Primary&gt;Boner,A.L.&lt;/Authors_Primary&gt;&lt;Date_Primary&gt;1994/10&lt;/Date_Primary&gt;&lt;Keywords&gt;allergen (adverse drug reaction)&lt;/Keywords&gt;&lt;Keywords&gt;benzoic acid derivative (drug administration&lt;/Keywords&gt;&lt;Keywords&gt;pharmacology)&lt;/Keywords&gt;&lt;Keywords&gt;insecticide (drug administration&lt;/Keywords&gt;&lt;Keywords&gt;pharmacology)&lt;/Keywords&gt;&lt;Keywords&gt;benzyl benzoate&lt;/Keywords&gt;&lt;Keywords&gt;immunoglobulin E&lt;/Keywords&gt;&lt;Keywords&gt;asthma (epidemiology&lt;/Keywords&gt;&lt;Keywords&gt;prevention)&lt;/Keywords&gt;&lt;Keywords&gt;bed&lt;/Keywords&gt;&lt;Keywords&gt;bronchus hyperreactivity (epidemiology&lt;/Keywords&gt;&lt;Reprint&gt;Not in File&lt;/Reprint&gt;&lt;Start_Page&gt;218&lt;/Start_Page&gt;&lt;End_Page&gt;227&lt;/End_Page&gt;&lt;Periodical&gt;Pediatr Pulmonol&lt;/Periodical&gt;&lt;Volume&gt;18&lt;/Volume&gt;&lt;Issue&gt;4&lt;/Issue&gt;&lt;User_Def_2&gt;Embase.com 7/19/2016&lt;/User_Def_2&gt;&lt;User_Def_3&gt;Given to Distiller on 10/14/2016 for EPC0039_EnviroTab&lt;/User_Def_3&gt;&lt;ISSN_ISBN&gt;7838620&lt;/ISSN_ISBN&gt;&lt;Availability&gt;Sharepoint, Distiller, EPC0039, SREMEPC39_KQ1KQ2_071916E, EPC0039_EnviroTab, HT_EPC39orderEnviro091316, EPC0039_cites_122016&lt;/Availability&gt;&lt;Address&gt;A.L. Boner, Policlin.Borgo Roma,Clin.Pediatr., 37134 Verona&lt;/Address&gt;&lt;ZZ_JournalStdAbbrev&gt;&lt;f name="System"&gt;Pediatr Pulmonol&lt;/f&gt;&lt;/ZZ_JournalStdAbbrev&gt;&lt;ZZ_WorkformID&gt;1&lt;/ZZ_WorkformID&gt;&lt;/MDL&gt;&lt;/Cite&gt;&lt;/Refman&gt;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5</w:t>
            </w:r>
            <w:r w:rsidR="004B1D66">
              <w:fldChar w:fldCharType="end"/>
            </w:r>
          </w:p>
        </w:tc>
        <w:tc>
          <w:tcPr>
            <w:tcW w:w="995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>
              <w:t>NR</w:t>
            </w:r>
          </w:p>
        </w:tc>
        <w:tc>
          <w:tcPr>
            <w:tcW w:w="4051" w:type="dxa"/>
          </w:tcPr>
          <w:p w:rsidR="006651E7" w:rsidRPr="004B7958" w:rsidRDefault="006651E7" w:rsidP="009D0F53">
            <w:pPr>
              <w:pStyle w:val="TableText"/>
            </w:pPr>
            <w:r w:rsidRPr="000B0E4F">
              <w:rPr>
                <w:b/>
              </w:rPr>
              <w:t>PC</w:t>
            </w:r>
            <w:r w:rsidRPr="000B0E4F">
              <w:rPr>
                <w:b/>
                <w:vertAlign w:val="subscript"/>
              </w:rPr>
              <w:t>20</w:t>
            </w:r>
            <w:r>
              <w:rPr>
                <w:b/>
              </w:rPr>
              <w:t xml:space="preserve"> </w:t>
            </w:r>
            <w:r>
              <w:t>c</w:t>
            </w:r>
            <w:r w:rsidRPr="004B7958">
              <w:t>hange from baseline (mean, SEM)</w:t>
            </w:r>
          </w:p>
          <w:p w:rsidR="006651E7" w:rsidRPr="008B1E75" w:rsidRDefault="006651E7" w:rsidP="009D0F53">
            <w:pPr>
              <w:pStyle w:val="TableText"/>
              <w:rPr>
                <w:u w:val="single"/>
              </w:rPr>
            </w:pPr>
            <w:r w:rsidRPr="008B1E75">
              <w:rPr>
                <w:u w:val="single"/>
              </w:rPr>
              <w:t>Study period 1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-2.39 (1.53) mg/mL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-0.07 (1.05)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-5.75 (4.42)</w:t>
            </w:r>
          </w:p>
          <w:p w:rsidR="006651E7" w:rsidRPr="008B1E75" w:rsidRDefault="006651E7" w:rsidP="009D0F53">
            <w:pPr>
              <w:pStyle w:val="TableText"/>
              <w:rPr>
                <w:u w:val="single"/>
              </w:rPr>
            </w:pPr>
            <w:r w:rsidRPr="008B1E75">
              <w:rPr>
                <w:u w:val="single"/>
              </w:rPr>
              <w:t>Study period 2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-1.95 (1.19)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-1.82 (0.74)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-3.84 (3.12)</w:t>
            </w:r>
          </w:p>
          <w:p w:rsidR="006651E7" w:rsidRDefault="006651E7" w:rsidP="009D0F53">
            <w:pPr>
              <w:pStyle w:val="TableText"/>
            </w:pPr>
          </w:p>
          <w:p w:rsidR="006651E7" w:rsidRPr="004B7958" w:rsidRDefault="006651E7" w:rsidP="009D0F53">
            <w:pPr>
              <w:pStyle w:val="TableText"/>
            </w:pPr>
            <w:r>
              <w:t>p=not significant, actual p-value NR</w:t>
            </w:r>
          </w:p>
        </w:tc>
        <w:tc>
          <w:tcPr>
            <w:tcW w:w="810" w:type="dxa"/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610" w:type="dxa"/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2969" w:type="dxa"/>
          </w:tcPr>
          <w:p w:rsidR="006651E7" w:rsidRPr="00223A1F" w:rsidRDefault="006651E7" w:rsidP="009D0F53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Serum IgE </w:t>
            </w:r>
            <w:r>
              <w:t>c</w:t>
            </w:r>
            <w:r w:rsidRPr="004B7958">
              <w:t xml:space="preserve">hange from baseline </w:t>
            </w:r>
            <w:r>
              <w:t>(no measure of variance provided)</w:t>
            </w:r>
          </w:p>
          <w:p w:rsidR="006651E7" w:rsidRPr="008B1E75" w:rsidRDefault="006651E7" w:rsidP="009D0F53">
            <w:pPr>
              <w:pStyle w:val="TableText"/>
              <w:spacing w:before="120"/>
              <w:rPr>
                <w:u w:val="single"/>
              </w:rPr>
            </w:pPr>
            <w:r w:rsidRPr="008B1E75">
              <w:rPr>
                <w:u w:val="single"/>
              </w:rPr>
              <w:t>Study period 1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-1.41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0.45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9.60</w:t>
            </w:r>
          </w:p>
          <w:p w:rsidR="006651E7" w:rsidRPr="004B7958" w:rsidRDefault="006651E7" w:rsidP="009D0F53">
            <w:pPr>
              <w:pStyle w:val="TableText"/>
              <w:ind w:right="-73"/>
            </w:pPr>
            <w:r>
              <w:t>p=not significant, actual p-value NR</w:t>
            </w:r>
          </w:p>
          <w:p w:rsidR="006651E7" w:rsidRPr="008B1E75" w:rsidRDefault="006651E7" w:rsidP="009D0F53">
            <w:pPr>
              <w:pStyle w:val="TableText"/>
              <w:spacing w:before="120"/>
              <w:rPr>
                <w:u w:val="single"/>
              </w:rPr>
            </w:pPr>
            <w:r w:rsidRPr="008B1E75">
              <w:rPr>
                <w:u w:val="single"/>
              </w:rPr>
              <w:t>Study period 2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1.10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-0.50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0.50</w:t>
            </w:r>
          </w:p>
          <w:p w:rsidR="006651E7" w:rsidRPr="004B7958" w:rsidRDefault="006651E7" w:rsidP="009D0F53">
            <w:pPr>
              <w:pStyle w:val="TableText"/>
              <w:ind w:right="-73"/>
            </w:pPr>
            <w:r>
              <w:t>p=not significant, actual p-value NR</w:t>
            </w:r>
          </w:p>
          <w:p w:rsidR="006651E7" w:rsidRPr="00864186" w:rsidRDefault="006651E7" w:rsidP="009D0F53">
            <w:pPr>
              <w:pStyle w:val="TableText"/>
              <w:spacing w:before="120"/>
              <w:rPr>
                <w:b/>
              </w:rPr>
            </w:pPr>
            <w:r w:rsidRPr="00864186">
              <w:rPr>
                <w:b/>
              </w:rPr>
              <w:t>Nasal IgE</w:t>
            </w:r>
          </w:p>
          <w:p w:rsidR="006651E7" w:rsidRPr="008B1E75" w:rsidRDefault="006651E7" w:rsidP="009D0F53">
            <w:pPr>
              <w:pStyle w:val="TableText"/>
              <w:rPr>
                <w:u w:val="single"/>
              </w:rPr>
            </w:pPr>
            <w:r w:rsidRPr="008B1E75">
              <w:rPr>
                <w:u w:val="single"/>
              </w:rPr>
              <w:t>Study period 1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0.40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</w:t>
            </w:r>
            <w:r>
              <w:t>e</w:t>
            </w:r>
            <w:r w:rsidRPr="004B7958">
              <w:t>bo: 0.49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1.62</w:t>
            </w:r>
          </w:p>
          <w:p w:rsidR="006651E7" w:rsidRPr="004B7958" w:rsidRDefault="006651E7" w:rsidP="009D0F53">
            <w:pPr>
              <w:pStyle w:val="TableText"/>
              <w:ind w:right="-73"/>
            </w:pPr>
            <w:r>
              <w:t>p=not significant, actual p-value NR</w:t>
            </w:r>
          </w:p>
          <w:p w:rsidR="006651E7" w:rsidRPr="008B1E75" w:rsidRDefault="006651E7" w:rsidP="009D0F53">
            <w:pPr>
              <w:pStyle w:val="TableText"/>
              <w:spacing w:before="120"/>
              <w:rPr>
                <w:u w:val="single"/>
              </w:rPr>
            </w:pPr>
            <w:r w:rsidRPr="008B1E75">
              <w:rPr>
                <w:u w:val="single"/>
              </w:rPr>
              <w:t>Study period 2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1.37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2.62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Control: -0.02</w:t>
            </w:r>
          </w:p>
          <w:p w:rsidR="006651E7" w:rsidRPr="004B7958" w:rsidRDefault="006651E7" w:rsidP="009D0F53">
            <w:pPr>
              <w:pStyle w:val="TableText"/>
              <w:ind w:right="-73"/>
            </w:pPr>
            <w:r>
              <w:t>p=not significant, actual p-value NR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31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 w:rsidRPr="004B7958">
              <w:lastRenderedPageBreak/>
              <w:t xml:space="preserve">Dietemann </w:t>
            </w:r>
            <w:r>
              <w:t xml:space="preserve">et al. </w:t>
            </w:r>
            <w:r w:rsidRPr="004B7958">
              <w:t>1993</w:t>
            </w:r>
            <w:r w:rsidR="004B1D66">
              <w:fldChar w:fldCharType="begin"/>
            </w:r>
            <w:r>
              <w:instrText xml:space="preserve"> ADDIN REFMGR.CITE &lt;Refman&gt;&lt;Cite&gt;&lt;Author&gt;Dietemann&lt;/Author&gt;&lt;Year&gt;1993&lt;/Year&gt;&lt;RecNum&gt;846041&lt;/RecNum&gt;&lt;IDText&gt;A double-blind, placebo controlled trial of solidified benzyl benzoate applied in dwellings of asthmatic patients sensitive to mites: clinical efficacy and effect on mite allergens&lt;/IDText&gt;&lt;MDL Ref_Type="Journal"&gt;&lt;Ref_Type&gt;Journal&lt;/Ref_Type&gt;&lt;Ref_ID&gt;846041&lt;/Ref_ID&gt;&lt;Title_Primary&gt;A double-blind, placebo controlled trial of solidified benzyl benzoate applied in dwellings of asthmatic patients sensitive to mites: clinical efficacy and effect on mite allergens&lt;/Title_Primary&gt;&lt;Authors_Primary&gt;Dietemann,A.&lt;/Authors_Primary&gt;&lt;Authors_Primary&gt;Bessot,J.C.&lt;/Authors_Primary&gt;&lt;Authors_Primary&gt;Hoyet,C.&lt;/Authors_Primary&gt;&lt;Authors_Primary&gt;Ott,M.&lt;/Authors_Primary&gt;&lt;Authors_Primary&gt;Verot,A.&lt;/Authors_Primary&gt;&lt;Authors_Primary&gt;Pauli,G.&lt;/Authors_Primary&gt;&lt;Date_Primary&gt;1993&lt;/Date_Primary&gt;&lt;Keywords&gt;acaricide&lt;/Keywords&gt;&lt;Keywords&gt;benzyl benzoate&lt;/Keywords&gt;&lt;Keywords&gt;guanine&lt;/Keywords&gt;&lt;Keywords&gt;house dust allergen (drug toxicity)&lt;/Keywords&gt;&lt;Keywords&gt;beclometasone&lt;/Keywords&gt;&lt;Keywords&gt;beta 2 adrenergic receptor stimulating agent&lt;/Keywords&gt;&lt;Keywords&gt;bronchodilating agent&lt;/Keywords&gt;&lt;Keywords&gt;cromoglycate disodium&lt;/Keywords&gt;&lt;Keywords&gt;theophylline&lt;/Keywords&gt;&lt;Keywords&gt;allergic asthma (diagnosis&lt;/Keywords&gt;&lt;Keywords&gt;etiology&lt;/Keywords&gt;&lt;Keywords&gt;prevention)&lt;/Keywords&gt;&lt;Keywords&gt;environment&lt;/Keywords&gt;&lt;Reprint&gt;Not in File&lt;/Reprint&gt;&lt;Start_Page&gt;738&lt;/Start_Page&gt;&lt;End_Page&gt;746&lt;/End_Page&gt;&lt;Periodical&gt;J Allergy Clin Immunol&lt;/Periodical&gt;&lt;Volume&gt;91&lt;/Volume&gt;&lt;Issue&gt;3&lt;/Issue&gt;&lt;User_Def_2&gt;Embase.com 7/19/2016&lt;/User_Def_2&gt;&lt;User_Def_3&gt;Given to Distiller on 10/11/2016 for EPC0039_EnviroTab&lt;/User_Def_3&gt;&lt;ISSN_ISBN&gt;8454796&lt;/ISSN_ISBN&gt;&lt;Availability&gt;Sharepoint, Distiller, EPC0039, SREMEPC39_KQ1KQ2_071916E, EPC0039_EnviroTab, HT_EPC39orders091416, EPC0039_cites_122016&lt;/Availability&gt;&lt;Address&gt;G. Pauli, Service de Pneumologie, Hopitaux Universitaires Strasbourg, Hopital Civil, 67091 Strasbourg Cedex, France&lt;/Address&gt;&lt;ZZ_JournalStdAbbrev&gt;&lt;f name="System"&gt;J Allergy Clin Immunol&lt;/f&gt;&lt;/ZZ_JournalStdAbbrev&gt;&lt;ZZ_WorkformID&gt;1&lt;/ZZ_WorkformID&gt;&lt;/MDL&gt;&lt;/Cite&gt;&lt;/Refman&gt;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6</w:t>
            </w:r>
            <w:r w:rsidR="004B1D66">
              <w:fldChar w:fldCharType="end"/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6651E7" w:rsidRPr="00223A1F" w:rsidRDefault="006651E7" w:rsidP="009D0F53">
            <w:pPr>
              <w:pStyle w:val="TableText"/>
            </w:pPr>
            <w:r w:rsidRPr="000B0E4F">
              <w:rPr>
                <w:b/>
              </w:rPr>
              <w:t>FEV</w:t>
            </w:r>
            <w:r w:rsidRPr="000B0E4F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>
              <w:t>change from baseline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+14%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+0.08%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Acarosan vs. placebo: p=not significant, actual p-value NR </w:t>
            </w:r>
          </w:p>
          <w:p w:rsidR="006651E7" w:rsidRPr="000B0E4F" w:rsidRDefault="006651E7" w:rsidP="009D0F53">
            <w:pPr>
              <w:pStyle w:val="TableText"/>
              <w:rPr>
                <w:b/>
              </w:rPr>
            </w:pPr>
            <w:r w:rsidRPr="000B0E4F">
              <w:rPr>
                <w:b/>
              </w:rPr>
              <w:t>FEF</w:t>
            </w:r>
            <w:r w:rsidRPr="000B0E4F">
              <w:rPr>
                <w:b/>
                <w:vertAlign w:val="subscript"/>
              </w:rPr>
              <w:t>25-75</w:t>
            </w:r>
            <w:r>
              <w:t xml:space="preserve"> change from baseline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+24.6%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+12%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Acarosan vs. placebo: p=not significant, actual p-value NR </w:t>
            </w:r>
          </w:p>
          <w:p w:rsidR="006651E7" w:rsidRPr="000B0E4F" w:rsidRDefault="006651E7" w:rsidP="009D0F53">
            <w:pPr>
              <w:pStyle w:val="TableText"/>
              <w:rPr>
                <w:b/>
              </w:rPr>
            </w:pPr>
            <w:r w:rsidRPr="000B0E4F">
              <w:rPr>
                <w:b/>
              </w:rPr>
              <w:t>Mean morning PEFR</w:t>
            </w:r>
            <w:r>
              <w:t xml:space="preserve"> change from baseline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+0.05%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-0.014%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Acarosan vs. placebo: p=not significant, actual p-value NR </w:t>
            </w:r>
          </w:p>
          <w:p w:rsidR="006651E7" w:rsidRPr="000B0E4F" w:rsidRDefault="006651E7" w:rsidP="009D0F53">
            <w:pPr>
              <w:pStyle w:val="TableText"/>
              <w:rPr>
                <w:b/>
              </w:rPr>
            </w:pPr>
            <w:r w:rsidRPr="000B0E4F">
              <w:rPr>
                <w:b/>
              </w:rPr>
              <w:t>Mean evening PEFR</w:t>
            </w:r>
            <w:r>
              <w:t xml:space="preserve"> change from baseline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+0.03%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-0.02%</w:t>
            </w:r>
          </w:p>
          <w:p w:rsidR="006651E7" w:rsidRPr="004B7958" w:rsidRDefault="006651E7" w:rsidP="009D0F53">
            <w:pPr>
              <w:pStyle w:val="TableText"/>
            </w:pPr>
            <w:r>
              <w:t xml:space="preserve">Acarosan vs. placebo: p=not significant, actual p-value NR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rPr>
                <w:i/>
              </w:rPr>
            </w:pPr>
            <w:r w:rsidRPr="004B7958">
              <w:t>NR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651E7" w:rsidRPr="004B7958" w:rsidRDefault="006651E7" w:rsidP="009D0F53">
            <w:pPr>
              <w:pStyle w:val="TableText"/>
              <w:spacing w:before="20"/>
            </w:pPr>
            <w:r>
              <w:t>NR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6651E7" w:rsidRPr="00711E04" w:rsidRDefault="006651E7" w:rsidP="009D0F53">
            <w:pPr>
              <w:pStyle w:val="TableText"/>
            </w:pPr>
            <w:r>
              <w:rPr>
                <w:b/>
              </w:rPr>
              <w:t>Measurement</w:t>
            </w:r>
            <w:r w:rsidRPr="00864186">
              <w:rPr>
                <w:b/>
              </w:rPr>
              <w:t>:</w:t>
            </w:r>
            <w:r>
              <w:t xml:space="preserve"> Member of study team collected dust samples by vacuuming mattresses, carpets, furniture; samples collected every 3 months throughout study period </w:t>
            </w:r>
          </w:p>
          <w:p w:rsidR="006651E7" w:rsidRPr="004B7958" w:rsidRDefault="006651E7" w:rsidP="009D0F53">
            <w:pPr>
              <w:pStyle w:val="TableText"/>
            </w:pPr>
            <w:r w:rsidRPr="00223A1F">
              <w:rPr>
                <w:b/>
              </w:rPr>
              <w:t>Quantitative guanine</w:t>
            </w:r>
            <w:r w:rsidRPr="004B7958">
              <w:t xml:space="preserve"> (mattress)</w:t>
            </w:r>
            <w:r>
              <w:t xml:space="preserve"> change from baseline</w:t>
            </w:r>
            <w:r w:rsidRPr="004B7958">
              <w:t>:</w:t>
            </w:r>
            <w:r>
              <w:t xml:space="preserve">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-0.03%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-35%</w:t>
            </w:r>
          </w:p>
          <w:p w:rsidR="006651E7" w:rsidRPr="004B7958" w:rsidRDefault="006651E7" w:rsidP="009D0F53">
            <w:pPr>
              <w:pStyle w:val="TableText"/>
            </w:pPr>
            <w:r>
              <w:t>Acarosan vs. placebo: p=not significant, actual p-value NR</w:t>
            </w:r>
          </w:p>
          <w:p w:rsidR="006651E7" w:rsidRDefault="006651E7" w:rsidP="009D0F53">
            <w:pPr>
              <w:pStyle w:val="TableText"/>
            </w:pPr>
            <w:r w:rsidRPr="00223A1F">
              <w:rPr>
                <w:b/>
              </w:rPr>
              <w:t>Der p 1 + Der f 1</w:t>
            </w:r>
            <w:r>
              <w:t>, change from baseline:</w:t>
            </w:r>
          </w:p>
          <w:p w:rsidR="006651E7" w:rsidRPr="00223A1F" w:rsidRDefault="006651E7" w:rsidP="009D0F53">
            <w:pPr>
              <w:pStyle w:val="TableText"/>
              <w:rPr>
                <w:u w:val="single"/>
              </w:rPr>
            </w:pPr>
            <w:r w:rsidRPr="00223A1F">
              <w:rPr>
                <w:u w:val="single"/>
              </w:rPr>
              <w:t>M</w:t>
            </w:r>
            <w:r>
              <w:rPr>
                <w:u w:val="single"/>
              </w:rPr>
              <w:t>attress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-19.7%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-17%</w:t>
            </w:r>
          </w:p>
          <w:p w:rsidR="006651E7" w:rsidRPr="004B7958" w:rsidRDefault="006651E7" w:rsidP="009D0F53">
            <w:pPr>
              <w:pStyle w:val="TableText"/>
            </w:pPr>
            <w:r>
              <w:t>Acarosan vs. placebo: p=not significant, actual p-value NR</w:t>
            </w:r>
          </w:p>
          <w:p w:rsidR="006651E7" w:rsidRPr="00223A1F" w:rsidRDefault="006651E7" w:rsidP="009D0F53">
            <w:pPr>
              <w:pStyle w:val="TableText"/>
              <w:rPr>
                <w:u w:val="single"/>
              </w:rPr>
            </w:pPr>
            <w:r w:rsidRPr="00223A1F">
              <w:rPr>
                <w:u w:val="single"/>
              </w:rPr>
              <w:t xml:space="preserve">Carpet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-74%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-27%</w:t>
            </w:r>
          </w:p>
          <w:p w:rsidR="006651E7" w:rsidRPr="004B7958" w:rsidRDefault="006651E7" w:rsidP="009D0F53">
            <w:pPr>
              <w:pStyle w:val="TableText"/>
            </w:pPr>
            <w:r>
              <w:t>Acarosan vs. placebo: p=not significant, actual p-value NR</w:t>
            </w:r>
          </w:p>
          <w:p w:rsidR="006651E7" w:rsidRPr="00223A1F" w:rsidRDefault="006651E7" w:rsidP="009D0F53">
            <w:pPr>
              <w:pStyle w:val="TableText"/>
              <w:rPr>
                <w:u w:val="single"/>
              </w:rPr>
            </w:pPr>
            <w:r w:rsidRPr="00223A1F">
              <w:rPr>
                <w:u w:val="single"/>
              </w:rPr>
              <w:t xml:space="preserve">Other 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Acarosan: -67%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-61%</w:t>
            </w:r>
          </w:p>
          <w:p w:rsidR="006651E7" w:rsidRPr="004B7958" w:rsidRDefault="006651E7" w:rsidP="009D0F53">
            <w:pPr>
              <w:pStyle w:val="TableText"/>
            </w:pPr>
            <w:r>
              <w:t>Acarosan vs. placebo: p&lt;</w:t>
            </w:r>
            <w:r w:rsidRPr="004B7958">
              <w:t>0.05</w:t>
            </w:r>
          </w:p>
        </w:tc>
      </w:tr>
      <w:tr w:rsidR="006651E7" w:rsidRPr="004B7958" w:rsidTr="009D0F53">
        <w:trPr>
          <w:cantSplit/>
          <w:trHeight w:val="1394"/>
        </w:trPr>
        <w:tc>
          <w:tcPr>
            <w:tcW w:w="1531" w:type="dxa"/>
            <w:tcBorders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Reiser </w:t>
            </w:r>
            <w:r>
              <w:t xml:space="preserve">et al. </w:t>
            </w:r>
            <w:r w:rsidRPr="004B7958">
              <w:t>1990</w:t>
            </w:r>
            <w:r w:rsidR="004B1D66">
              <w:fldChar w:fldCharType="begin"/>
            </w:r>
            <w:r>
              <w:instrText xml:space="preserve"> ADDIN REFMGR.CITE &lt;Refman&gt;&lt;Cite&gt;&lt;Author&gt;Reiser&lt;/Author&gt;&lt;Year&gt;1990&lt;/Year&gt;&lt;RecNum&gt;846076&lt;/RecNum&gt;&lt;IDText&gt;House dust mite allergen levels and an anti-mite mattress spray (natamycin) in the treatment of childhood asthma&lt;/IDText&gt;&lt;MDL Ref_Type="Journal"&gt;&lt;Ref_Type&gt;Journal&lt;/Ref_Type&gt;&lt;Ref_ID&gt;846076&lt;/Ref_ID&gt;&lt;Title_Primary&gt;House dust mite allergen levels and an anti-mite mattress spray (natamycin) in the treatment of childhood asthma&lt;/Title_Primary&gt;&lt;Authors_Primary&gt;Reiser,J.&lt;/Authors_Primary&gt;&lt;Authors_Primary&gt;Ingram,D.&lt;/Authors_Primary&gt;&lt;Authors_Primary&gt;Mitchell,E.B.&lt;/Authors_Primary&gt;&lt;Authors_Primary&gt;Warner,J.O.&lt;/Authors_Primary&gt;&lt;Date_Primary&gt;1990&lt;/Date_Primary&gt;&lt;Keywords&gt;house dust allergen&lt;/Keywords&gt;&lt;Keywords&gt;mite allergen&lt;/Keywords&gt;&lt;Keywords&gt;natamycin&lt;/Keywords&gt;&lt;Keywords&gt;unclassified drug&lt;/Keywords&gt;&lt;Keywords&gt;asthma&lt;/Keywords&gt;&lt;Keywords&gt;article&lt;/Keywords&gt;&lt;Keywords&gt;child&lt;/Keywords&gt;&lt;Keywords&gt;clinical article&lt;/Keywords&gt;&lt;Keywords&gt;female&lt;/Keywords&gt;&lt;Keywords&gt;histochemistry&lt;/Keywords&gt;&lt;Keywords&gt;histology&lt;/Keywords&gt;&lt;Keywords&gt;human&lt;/Keywords&gt;&lt;Keywords&gt;human cell&lt;/Keywords&gt;&lt;Keywords&gt;inhalational drug administration&lt;/Keywords&gt;&lt;Keywords&gt;male&lt;/Keywords&gt;&lt;Keywords&gt;priority journal&lt;/Keywords&gt;&lt;Reprint&gt;Not in File&lt;/Reprint&gt;&lt;Start_Page&gt;561&lt;/Start_Page&gt;&lt;End_Page&gt;567&lt;/End_Page&gt;&lt;Periodical&gt;Clin Exp Allergy&lt;/Periodical&gt;&lt;Volume&gt;20&lt;/Volume&gt;&lt;Issue&gt;5&lt;/Issue&gt;&lt;User_Def_2&gt;Embase.com 7/19/2016&lt;/User_Def_2&gt;&lt;User_Def_3&gt;Given to Distiller on 10/11/2016 for EPC0039_EnviroTab&lt;/User_Def_3&gt;&lt;ISSN_ISBN&gt;2253088&lt;/ISSN_ISBN&gt;&lt;Availability&gt;Sharepoint, Distiller, EPC0039, SREMEPC39_KQ1KQ2_071916E, EPC0039_EnviroTab, HT_EPC39orders091416, EPC0039_cites_122016&lt;/Availability&gt;&lt;Address&gt;J. Reiser, Lister Hospital, Coreys Mill Lane, Stevenage SG1 4AB, United Kingdom&lt;/Address&gt;&lt;ZZ_JournalStdAbbrev&gt;&lt;f name="System"&gt;Clin Exp Allergy&lt;/f&gt;&lt;/ZZ_JournalStdAbbrev&gt;&lt;ZZ_WorkformID&gt;1&lt;/ZZ_WorkformID&gt;&lt;/MDL&gt;&lt;/Cite&gt;&lt;/Refman&gt;</w:instrText>
            </w:r>
            <w:r w:rsidR="004B1D66">
              <w:fldChar w:fldCharType="separate"/>
            </w:r>
            <w:r w:rsidRPr="00467BD6">
              <w:rPr>
                <w:vertAlign w:val="superscript"/>
              </w:rPr>
              <w:t>7</w:t>
            </w:r>
            <w:r w:rsidR="004B1D66">
              <w:fldChar w:fldCharType="end"/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  <w:r w:rsidRPr="009F2B6A">
              <w:t xml:space="preserve"> 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>
              <w:t>NR</w:t>
            </w:r>
          </w:p>
        </w:tc>
        <w:tc>
          <w:tcPr>
            <w:tcW w:w="4051" w:type="dxa"/>
            <w:tcBorders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</w:pPr>
            <w:r w:rsidRPr="00067373">
              <w:rPr>
                <w:b/>
              </w:rPr>
              <w:t>P</w:t>
            </w:r>
            <w:r>
              <w:rPr>
                <w:b/>
              </w:rPr>
              <w:t>EFR</w:t>
            </w:r>
            <w:r w:rsidRPr="00067373">
              <w:rPr>
                <w:b/>
              </w:rPr>
              <w:t xml:space="preserve"> and FEV</w:t>
            </w:r>
            <w:r w:rsidRPr="00067373">
              <w:rPr>
                <w:b/>
                <w:vertAlign w:val="subscript"/>
              </w:rPr>
              <w:t>1</w:t>
            </w:r>
            <w:r w:rsidRPr="00067373">
              <w:rPr>
                <w:b/>
              </w:rPr>
              <w:t>:</w:t>
            </w:r>
            <w:r w:rsidRPr="004B7958">
              <w:t xml:space="preserve"> </w:t>
            </w:r>
          </w:p>
          <w:p w:rsidR="006651E7" w:rsidRDefault="006651E7" w:rsidP="009D0F53">
            <w:pPr>
              <w:pStyle w:val="TableText"/>
            </w:pPr>
            <w:r>
              <w:t>Comparison of arms showed n</w:t>
            </w:r>
            <w:r w:rsidRPr="004B7958">
              <w:t xml:space="preserve">o </w:t>
            </w:r>
            <w:r>
              <w:t xml:space="preserve">statistically </w:t>
            </w:r>
            <w:r w:rsidRPr="004B7958">
              <w:t xml:space="preserve">significant difference (data reported in graph) </w:t>
            </w:r>
          </w:p>
          <w:p w:rsidR="006651E7" w:rsidRPr="004B7958" w:rsidRDefault="006651E7" w:rsidP="009D0F53">
            <w:pPr>
              <w:pStyle w:val="TableText"/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NR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6651E7" w:rsidRDefault="006651E7" w:rsidP="009D0F53">
            <w:pPr>
              <w:pStyle w:val="TableText"/>
            </w:pPr>
            <w:r w:rsidRPr="002374F5">
              <w:rPr>
                <w:b/>
              </w:rPr>
              <w:t>Measurement</w:t>
            </w:r>
            <w:r>
              <w:t>: Patient diaries</w:t>
            </w:r>
          </w:p>
          <w:p w:rsidR="006651E7" w:rsidRPr="004B7958" w:rsidRDefault="006651E7" w:rsidP="009D0F53">
            <w:pPr>
              <w:pStyle w:val="TableText"/>
            </w:pPr>
            <w:r w:rsidRPr="002374F5">
              <w:rPr>
                <w:b/>
              </w:rPr>
              <w:t>Clinical</w:t>
            </w:r>
            <w:r w:rsidRPr="00067373">
              <w:rPr>
                <w:b/>
              </w:rPr>
              <w:t xml:space="preserve"> symptoms</w:t>
            </w:r>
            <w:r w:rsidRPr="0048301E">
              <w:rPr>
                <w:b/>
              </w:rPr>
              <w:t>:</w:t>
            </w:r>
            <w:r w:rsidRPr="004B7958">
              <w:t xml:space="preserve"> </w:t>
            </w:r>
            <w:r>
              <w:t>Comparison of arms showed n</w:t>
            </w:r>
            <w:r w:rsidRPr="004B7958">
              <w:t xml:space="preserve">o </w:t>
            </w:r>
            <w:r>
              <w:t xml:space="preserve">statistically </w:t>
            </w:r>
            <w:r w:rsidRPr="004B7958">
              <w:t>significant difference</w:t>
            </w:r>
            <w:r>
              <w:t xml:space="preserve"> </w:t>
            </w:r>
            <w:r w:rsidRPr="004B7958">
              <w:t>(data reported in graph)</w:t>
            </w:r>
          </w:p>
        </w:tc>
        <w:tc>
          <w:tcPr>
            <w:tcW w:w="2969" w:type="dxa"/>
            <w:tcBorders>
              <w:bottom w:val="single" w:sz="12" w:space="0" w:color="auto"/>
            </w:tcBorders>
          </w:tcPr>
          <w:p w:rsidR="006651E7" w:rsidRPr="00655F17" w:rsidRDefault="006651E7" w:rsidP="009D0F53">
            <w:pPr>
              <w:pStyle w:val="TableText"/>
            </w:pPr>
            <w:r>
              <w:rPr>
                <w:b/>
              </w:rPr>
              <w:t>Measurement</w:t>
            </w:r>
            <w:r w:rsidRPr="0048301E">
              <w:rPr>
                <w:b/>
              </w:rPr>
              <w:t>:</w:t>
            </w:r>
            <w:r>
              <w:t xml:space="preserve"> Member of study team collected dust samples by vacuuming mattresses; samples collected 2 times: before and after study period</w:t>
            </w:r>
          </w:p>
          <w:p w:rsidR="006651E7" w:rsidRPr="004B7958" w:rsidRDefault="006651E7" w:rsidP="009D0F53">
            <w:pPr>
              <w:pStyle w:val="TableText"/>
            </w:pPr>
            <w:r w:rsidRPr="00B90743">
              <w:rPr>
                <w:b/>
              </w:rPr>
              <w:t>Der p 1 allergen</w:t>
            </w:r>
            <w:r>
              <w:t>, g</w:t>
            </w:r>
            <w:r w:rsidRPr="004B7958">
              <w:t>eometric mean difference from baseline to</w:t>
            </w:r>
            <w:r>
              <w:t xml:space="preserve"> followup: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Natamycin: 2659</w:t>
            </w:r>
          </w:p>
          <w:p w:rsidR="006651E7" w:rsidRPr="004B7958" w:rsidRDefault="006651E7" w:rsidP="009D0F53">
            <w:pPr>
              <w:pStyle w:val="TableText"/>
            </w:pPr>
            <w:r w:rsidRPr="004B7958">
              <w:t>Placebo: 1009</w:t>
            </w:r>
          </w:p>
          <w:p w:rsidR="006651E7" w:rsidRPr="004B7958" w:rsidRDefault="006651E7" w:rsidP="009D0F53">
            <w:pPr>
              <w:pStyle w:val="TableText"/>
            </w:pPr>
            <w:r>
              <w:t>Natamycin vs. placebo: p=not significant, actual p-value NR</w:t>
            </w:r>
          </w:p>
        </w:tc>
      </w:tr>
    </w:tbl>
    <w:p w:rsidR="006651E7" w:rsidRDefault="006651E7" w:rsidP="00B850DE">
      <w:pPr>
        <w:pStyle w:val="TableNote"/>
        <w:spacing w:before="20" w:after="0"/>
      </w:pPr>
      <w:r>
        <w:t>Der f 1=</w:t>
      </w:r>
      <w:r w:rsidRPr="004B7958">
        <w:rPr>
          <w:i/>
        </w:rPr>
        <w:t xml:space="preserve">Dermatophagoides farina </w:t>
      </w:r>
      <w:r>
        <w:t>house dust mite allergen; Der p 1=</w:t>
      </w:r>
      <w:r w:rsidRPr="004B7958">
        <w:rPr>
          <w:i/>
        </w:rPr>
        <w:t>Dermatophagoides</w:t>
      </w:r>
      <w:r w:rsidRPr="004B7958">
        <w:t xml:space="preserve"> </w:t>
      </w:r>
      <w:r>
        <w:rPr>
          <w:i/>
        </w:rPr>
        <w:t>pteronyssinus</w:t>
      </w:r>
      <w:r w:rsidRPr="004B7958">
        <w:t xml:space="preserve"> </w:t>
      </w:r>
      <w:r>
        <w:t xml:space="preserve">house dust mite </w:t>
      </w:r>
      <w:r w:rsidRPr="004B7958">
        <w:t>allergen</w:t>
      </w:r>
      <w:r>
        <w:t xml:space="preserve">; </w:t>
      </w:r>
      <w:r w:rsidRPr="004B7958">
        <w:t>FEV</w:t>
      </w:r>
      <w:r w:rsidRPr="004B7958">
        <w:rPr>
          <w:vertAlign w:val="subscript"/>
        </w:rPr>
        <w:t>1</w:t>
      </w:r>
      <w:r>
        <w:t>=f</w:t>
      </w:r>
      <w:r w:rsidRPr="004B7958">
        <w:t>orced expiratory volume in one second</w:t>
      </w:r>
      <w:r>
        <w:t xml:space="preserve">; NR=not reported; </w:t>
      </w:r>
      <w:r w:rsidRPr="004B7958">
        <w:t>PC</w:t>
      </w:r>
      <w:r w:rsidRPr="004B7958">
        <w:rPr>
          <w:vertAlign w:val="subscript"/>
        </w:rPr>
        <w:t>20</w:t>
      </w:r>
      <w:r>
        <w:t>=p</w:t>
      </w:r>
      <w:r w:rsidRPr="004B7958">
        <w:t>rovocative concentration 20</w:t>
      </w:r>
      <w:r>
        <w:t>; PEFR=p</w:t>
      </w:r>
      <w:r w:rsidRPr="004B7958">
        <w:t>eak expiratory flow rate</w:t>
      </w:r>
      <w:r>
        <w:t>; SD=standard deviation; SEM=stand error of the mean</w:t>
      </w:r>
      <w:r w:rsidRPr="004B7958">
        <w:t xml:space="preserve"> </w:t>
      </w:r>
    </w:p>
    <w:sectPr w:rsidR="006651E7" w:rsidSect="00FD7FB0">
      <w:footerReference w:type="default" r:id="rId8"/>
      <w:footerReference w:type="first" r:id="rId9"/>
      <w:pgSz w:w="15840" w:h="12240" w:orient="landscape"/>
      <w:pgMar w:top="1350" w:right="720" w:bottom="1440" w:left="720" w:header="1152" w:footer="720" w:gutter="0"/>
      <w:pgNumType w:start="4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19" w:rsidRDefault="00F05A19">
      <w:r>
        <w:separator/>
      </w:r>
    </w:p>
  </w:endnote>
  <w:endnote w:type="continuationSeparator" w:id="1">
    <w:p w:rsidR="00F05A19" w:rsidRDefault="00F0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CB" w:rsidRDefault="00720ACB" w:rsidP="00720ACB">
    <w:pPr>
      <w:pStyle w:val="Footer"/>
      <w:jc w:val="center"/>
    </w:pPr>
    <w:r>
      <w:t>C-</w:t>
    </w:r>
    <w:sdt>
      <w:sdtPr>
        <w:id w:val="5605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A91B24">
            <w:rPr>
              <w:noProof/>
            </w:rPr>
            <w:t>5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CB" w:rsidRDefault="00720ACB" w:rsidP="00720ACB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A91B24">
            <w:rPr>
              <w:noProof/>
            </w:rPr>
            <w:t>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19" w:rsidRDefault="00F05A19">
      <w:r>
        <w:separator/>
      </w:r>
    </w:p>
  </w:footnote>
  <w:footnote w:type="continuationSeparator" w:id="1">
    <w:p w:rsidR="00F05A19" w:rsidRDefault="00F05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12E5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3C79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2552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4DA6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266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1D66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0ACB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814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B24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0F9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50DE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224A"/>
    <w:rsid w:val="00C45DF7"/>
    <w:rsid w:val="00C51008"/>
    <w:rsid w:val="00C53D98"/>
    <w:rsid w:val="00C579B4"/>
    <w:rsid w:val="00C57FF7"/>
    <w:rsid w:val="00C60A57"/>
    <w:rsid w:val="00C61FFE"/>
    <w:rsid w:val="00C703EC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97DE0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EF62D3"/>
    <w:rsid w:val="00F00749"/>
    <w:rsid w:val="00F00906"/>
    <w:rsid w:val="00F02165"/>
    <w:rsid w:val="00F023F2"/>
    <w:rsid w:val="00F02792"/>
    <w:rsid w:val="00F031E9"/>
    <w:rsid w:val="00F05A1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D7FB0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fontTable" Target="fontTable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918-BAFB-49FF-B9B3-12CB2611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7</cp:revision>
  <cp:lastPrinted>2018-04-02T08:41:00Z</cp:lastPrinted>
  <dcterms:created xsi:type="dcterms:W3CDTF">2018-04-02T06:18:00Z</dcterms:created>
  <dcterms:modified xsi:type="dcterms:W3CDTF">2018-04-02T08:42:00Z</dcterms:modified>
</cp:coreProperties>
</file>