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8BE" w:rsidRDefault="008E500B" w:rsidP="008E500B">
      <w:pPr>
        <w:pStyle w:val="ChapterHeading"/>
      </w:pPr>
      <w:r>
        <w:t>Appendix C. Design Details</w:t>
      </w:r>
      <w:bookmarkStart w:id="0" w:name="_GoBack"/>
      <w:bookmarkEnd w:id="0"/>
    </w:p>
    <w:p w:rsidR="0084016A" w:rsidRPr="00CF1F17" w:rsidRDefault="0084016A" w:rsidP="00B2449B">
      <w:pPr>
        <w:pStyle w:val="TableTitle"/>
      </w:pPr>
      <w:r>
        <w:t xml:space="preserve">Table C-1. Design </w:t>
      </w:r>
      <w:r w:rsidR="009D1B1B">
        <w:t>d</w:t>
      </w:r>
      <w:r>
        <w:t>etails</w:t>
      </w:r>
    </w:p>
    <w:tbl>
      <w:tblPr>
        <w:tblW w:w="13680"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90"/>
        <w:gridCol w:w="1170"/>
        <w:gridCol w:w="1260"/>
        <w:gridCol w:w="1890"/>
        <w:gridCol w:w="2589"/>
        <w:gridCol w:w="1751"/>
        <w:gridCol w:w="1620"/>
        <w:gridCol w:w="1510"/>
      </w:tblGrid>
      <w:tr w:rsidR="000115D5" w:rsidRPr="00144816" w:rsidTr="005D28A2">
        <w:trPr>
          <w:trHeight w:val="260"/>
          <w:tblHeader/>
        </w:trPr>
        <w:tc>
          <w:tcPr>
            <w:tcW w:w="1890" w:type="dxa"/>
            <w:shd w:val="clear" w:color="auto" w:fill="auto"/>
            <w:noWrap/>
            <w:hideMark/>
          </w:tcPr>
          <w:p w:rsidR="00144816" w:rsidRPr="00144816" w:rsidRDefault="00144816" w:rsidP="000531D5">
            <w:pPr>
              <w:pStyle w:val="TableColumnHead"/>
            </w:pPr>
            <w:r w:rsidRPr="00144816">
              <w:t>Author Year PMID (Country/Region)</w:t>
            </w:r>
          </w:p>
        </w:tc>
        <w:tc>
          <w:tcPr>
            <w:tcW w:w="1170" w:type="dxa"/>
            <w:shd w:val="clear" w:color="auto" w:fill="auto"/>
            <w:noWrap/>
            <w:hideMark/>
          </w:tcPr>
          <w:p w:rsidR="00144816" w:rsidRPr="00144816" w:rsidRDefault="000115D5" w:rsidP="000531D5">
            <w:pPr>
              <w:pStyle w:val="TableColumnHead"/>
            </w:pPr>
            <w:r>
              <w:t xml:space="preserve">Number of centers </w:t>
            </w:r>
          </w:p>
        </w:tc>
        <w:tc>
          <w:tcPr>
            <w:tcW w:w="1260" w:type="dxa"/>
            <w:shd w:val="clear" w:color="auto" w:fill="auto"/>
            <w:noWrap/>
            <w:hideMark/>
          </w:tcPr>
          <w:p w:rsidR="00144816" w:rsidRPr="00144816" w:rsidRDefault="00144816" w:rsidP="000531D5">
            <w:pPr>
              <w:pStyle w:val="TableColumnHead"/>
            </w:pPr>
            <w:r w:rsidRPr="00144816">
              <w:t>Funding</w:t>
            </w:r>
          </w:p>
        </w:tc>
        <w:tc>
          <w:tcPr>
            <w:tcW w:w="1890" w:type="dxa"/>
            <w:shd w:val="clear" w:color="auto" w:fill="auto"/>
            <w:noWrap/>
            <w:hideMark/>
          </w:tcPr>
          <w:p w:rsidR="00144816" w:rsidRPr="00144816" w:rsidRDefault="00144816" w:rsidP="000531D5">
            <w:pPr>
              <w:pStyle w:val="TableColumnHead"/>
            </w:pPr>
            <w:r w:rsidRPr="00144816">
              <w:t>Inclusion criteria*</w:t>
            </w:r>
          </w:p>
        </w:tc>
        <w:tc>
          <w:tcPr>
            <w:tcW w:w="2589" w:type="dxa"/>
            <w:shd w:val="clear" w:color="auto" w:fill="auto"/>
            <w:noWrap/>
            <w:hideMark/>
          </w:tcPr>
          <w:p w:rsidR="00144816" w:rsidRPr="00144816" w:rsidRDefault="00144816" w:rsidP="000531D5">
            <w:pPr>
              <w:pStyle w:val="TableColumnHead"/>
            </w:pPr>
            <w:r w:rsidRPr="00144816">
              <w:t>Exclusion criteria*</w:t>
            </w:r>
          </w:p>
        </w:tc>
        <w:tc>
          <w:tcPr>
            <w:tcW w:w="1751" w:type="dxa"/>
            <w:shd w:val="clear" w:color="auto" w:fill="auto"/>
            <w:noWrap/>
            <w:hideMark/>
          </w:tcPr>
          <w:p w:rsidR="00144816" w:rsidRPr="00144816" w:rsidRDefault="00144816" w:rsidP="000531D5">
            <w:pPr>
              <w:pStyle w:val="TableColumnHead"/>
            </w:pPr>
            <w:r w:rsidRPr="00144816">
              <w:t>Method of diagnosis</w:t>
            </w:r>
          </w:p>
        </w:tc>
        <w:tc>
          <w:tcPr>
            <w:tcW w:w="1620" w:type="dxa"/>
            <w:shd w:val="clear" w:color="auto" w:fill="auto"/>
            <w:noWrap/>
            <w:hideMark/>
          </w:tcPr>
          <w:p w:rsidR="00144816" w:rsidRPr="00144816" w:rsidRDefault="00144816" w:rsidP="000531D5">
            <w:pPr>
              <w:pStyle w:val="TableColumnHead"/>
            </w:pPr>
            <w:r w:rsidRPr="00144816">
              <w:t xml:space="preserve">Preoperative </w:t>
            </w:r>
            <w:r w:rsidR="000115D5">
              <w:t>tumor size assessment</w:t>
            </w:r>
          </w:p>
        </w:tc>
        <w:tc>
          <w:tcPr>
            <w:tcW w:w="1510" w:type="dxa"/>
            <w:shd w:val="clear" w:color="auto" w:fill="auto"/>
            <w:noWrap/>
            <w:hideMark/>
          </w:tcPr>
          <w:p w:rsidR="00144816" w:rsidRPr="00144816" w:rsidRDefault="00144816" w:rsidP="005D28A2">
            <w:pPr>
              <w:pStyle w:val="TableColumnHead"/>
            </w:pPr>
            <w:r w:rsidRPr="00144816">
              <w:t xml:space="preserve">N </w:t>
            </w:r>
            <w:r w:rsidR="005D28A2">
              <w:t>e</w:t>
            </w:r>
            <w:r w:rsidRPr="00144816">
              <w:t>nrolled/</w:t>
            </w:r>
            <w:r w:rsidR="005D28A2">
              <w:t xml:space="preserve"> r</w:t>
            </w:r>
            <w:r w:rsidRPr="00144816">
              <w:t>andomized/</w:t>
            </w:r>
            <w:r w:rsidR="005D28A2">
              <w:t xml:space="preserve"> a</w:t>
            </w:r>
            <w:r w:rsidRPr="00144816">
              <w:t>nalyzed</w:t>
            </w:r>
          </w:p>
        </w:tc>
      </w:tr>
      <w:tr w:rsidR="000115D5" w:rsidRPr="00144816" w:rsidTr="005D28A2">
        <w:trPr>
          <w:trHeight w:val="260"/>
        </w:trPr>
        <w:tc>
          <w:tcPr>
            <w:tcW w:w="1890" w:type="dxa"/>
            <w:shd w:val="clear" w:color="auto" w:fill="auto"/>
            <w:noWrap/>
            <w:hideMark/>
          </w:tcPr>
          <w:p w:rsidR="00144816" w:rsidRPr="005D28A2" w:rsidRDefault="00144816" w:rsidP="005D28A2">
            <w:pPr>
              <w:pStyle w:val="TableText"/>
              <w:rPr>
                <w:b/>
                <w:sz w:val="20"/>
                <w:szCs w:val="20"/>
              </w:rPr>
            </w:pPr>
            <w:r w:rsidRPr="005D28A2">
              <w:rPr>
                <w:b/>
                <w:sz w:val="20"/>
                <w:szCs w:val="20"/>
              </w:rPr>
              <w:t>RCT</w:t>
            </w:r>
          </w:p>
        </w:tc>
        <w:tc>
          <w:tcPr>
            <w:tcW w:w="1170" w:type="dxa"/>
            <w:shd w:val="clear" w:color="auto" w:fill="auto"/>
            <w:noWrap/>
            <w:hideMark/>
          </w:tcPr>
          <w:p w:rsidR="00144816" w:rsidRPr="00144816" w:rsidRDefault="00144816" w:rsidP="005D28A2">
            <w:pPr>
              <w:pStyle w:val="TableText"/>
            </w:pPr>
          </w:p>
        </w:tc>
        <w:tc>
          <w:tcPr>
            <w:tcW w:w="1260" w:type="dxa"/>
            <w:shd w:val="clear" w:color="auto" w:fill="auto"/>
            <w:noWrap/>
            <w:hideMark/>
          </w:tcPr>
          <w:p w:rsidR="00144816" w:rsidRPr="00144816" w:rsidRDefault="00144816" w:rsidP="005D28A2">
            <w:pPr>
              <w:pStyle w:val="TableText"/>
            </w:pPr>
          </w:p>
        </w:tc>
        <w:tc>
          <w:tcPr>
            <w:tcW w:w="1890" w:type="dxa"/>
            <w:shd w:val="clear" w:color="auto" w:fill="auto"/>
            <w:noWrap/>
            <w:hideMark/>
          </w:tcPr>
          <w:p w:rsidR="00144816" w:rsidRPr="00144816" w:rsidRDefault="00144816" w:rsidP="005D28A2">
            <w:pPr>
              <w:pStyle w:val="TableText"/>
            </w:pPr>
          </w:p>
        </w:tc>
        <w:tc>
          <w:tcPr>
            <w:tcW w:w="2589" w:type="dxa"/>
            <w:shd w:val="clear" w:color="auto" w:fill="auto"/>
            <w:noWrap/>
            <w:hideMark/>
          </w:tcPr>
          <w:p w:rsidR="00144816" w:rsidRPr="00144816" w:rsidRDefault="00144816" w:rsidP="005D28A2">
            <w:pPr>
              <w:pStyle w:val="TableText"/>
            </w:pPr>
          </w:p>
        </w:tc>
        <w:tc>
          <w:tcPr>
            <w:tcW w:w="1751" w:type="dxa"/>
            <w:shd w:val="clear" w:color="auto" w:fill="auto"/>
            <w:noWrap/>
            <w:hideMark/>
          </w:tcPr>
          <w:p w:rsidR="00144816" w:rsidRPr="00144816" w:rsidRDefault="00144816" w:rsidP="005D28A2">
            <w:pPr>
              <w:pStyle w:val="TableText"/>
            </w:pPr>
          </w:p>
        </w:tc>
        <w:tc>
          <w:tcPr>
            <w:tcW w:w="1620" w:type="dxa"/>
            <w:shd w:val="clear" w:color="auto" w:fill="auto"/>
            <w:noWrap/>
            <w:hideMark/>
          </w:tcPr>
          <w:p w:rsidR="00144816" w:rsidRPr="00144816" w:rsidRDefault="00144816" w:rsidP="005D28A2">
            <w:pPr>
              <w:pStyle w:val="TableText"/>
            </w:pPr>
          </w:p>
        </w:tc>
        <w:tc>
          <w:tcPr>
            <w:tcW w:w="1510" w:type="dxa"/>
            <w:shd w:val="clear" w:color="auto" w:fill="auto"/>
            <w:noWrap/>
            <w:hideMark/>
          </w:tcPr>
          <w:p w:rsidR="00144816" w:rsidRPr="00144816" w:rsidRDefault="00144816" w:rsidP="005D28A2">
            <w:pPr>
              <w:pStyle w:val="TableText"/>
            </w:pP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Abbade 2015 (Conference abstract) (Brazil)</w:t>
            </w:r>
          </w:p>
        </w:tc>
        <w:tc>
          <w:tcPr>
            <w:tcW w:w="1170" w:type="dxa"/>
            <w:shd w:val="clear" w:color="auto" w:fill="auto"/>
            <w:noWrap/>
            <w:hideMark/>
          </w:tcPr>
          <w:p w:rsidR="00144816" w:rsidRPr="00144816" w:rsidRDefault="00144816" w:rsidP="005D28A2">
            <w:pPr>
              <w:pStyle w:val="TableText"/>
            </w:pPr>
            <w:r w:rsidRPr="00144816">
              <w:t>Unclear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primary nodular BCC in the head and neck, &lt;=2 in Ø</w:t>
            </w:r>
          </w:p>
        </w:tc>
        <w:tc>
          <w:tcPr>
            <w:tcW w:w="2589" w:type="dxa"/>
            <w:shd w:val="clear" w:color="auto" w:fill="auto"/>
            <w:noWrap/>
            <w:hideMark/>
          </w:tcPr>
          <w:p w:rsidR="00144816" w:rsidRPr="00144816" w:rsidRDefault="00144816" w:rsidP="005D28A2">
            <w:pPr>
              <w:pStyle w:val="TableText"/>
            </w:pPr>
            <w:r w:rsidRPr="00144816">
              <w:t>no histologic confirmation of nodular BCC, Gorlin syndrome or contraindication to surgical resection or PDT.</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92 lesions/68 lesions/68 lesions</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Al-Niaimi 2015 26157307 (UK)</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&gt;18 y/o, BCC &gt; 1 x 1 cm2 requiring treatment with MMS</w:t>
            </w:r>
          </w:p>
        </w:tc>
        <w:tc>
          <w:tcPr>
            <w:tcW w:w="2589" w:type="dxa"/>
            <w:shd w:val="clear" w:color="auto" w:fill="auto"/>
            <w:noWrap/>
            <w:hideMark/>
          </w:tcPr>
          <w:p w:rsidR="00144816" w:rsidRPr="00144816" w:rsidRDefault="00144816" w:rsidP="005D28A2">
            <w:pPr>
              <w:pStyle w:val="TableText"/>
            </w:pPr>
            <w:r w:rsidRPr="00144816">
              <w:t>morphoeic, infiltrative and subtypes, a photosensitive skin disorder, hypersensitivity to MAL, participation in another investigational drug or research study within 30 days, and females of child-bearing potential</w:t>
            </w:r>
          </w:p>
        </w:tc>
        <w:tc>
          <w:tcPr>
            <w:tcW w:w="1751" w:type="dxa"/>
            <w:shd w:val="clear" w:color="auto" w:fill="auto"/>
            <w:noWrap/>
            <w:hideMark/>
          </w:tcPr>
          <w:p w:rsidR="00144816" w:rsidRPr="00144816" w:rsidRDefault="00144816" w:rsidP="005D28A2">
            <w:pPr>
              <w:pStyle w:val="TableText"/>
            </w:pPr>
            <w:r w:rsidRPr="00144816">
              <w:t>Method of diagnosis not reported</w:t>
            </w:r>
          </w:p>
        </w:tc>
        <w:tc>
          <w:tcPr>
            <w:tcW w:w="1620" w:type="dxa"/>
            <w:shd w:val="clear" w:color="auto" w:fill="auto"/>
            <w:noWrap/>
            <w:hideMark/>
          </w:tcPr>
          <w:p w:rsidR="00144816" w:rsidRPr="00144816" w:rsidRDefault="00144816" w:rsidP="005D28A2">
            <w:pPr>
              <w:pStyle w:val="TableText"/>
            </w:pPr>
            <w:r w:rsidRPr="00144816">
              <w:t>Visual assessment</w:t>
            </w:r>
          </w:p>
        </w:tc>
        <w:tc>
          <w:tcPr>
            <w:tcW w:w="1510" w:type="dxa"/>
            <w:shd w:val="clear" w:color="auto" w:fill="auto"/>
            <w:noWrap/>
            <w:hideMark/>
          </w:tcPr>
          <w:p w:rsidR="00144816" w:rsidRPr="00144816" w:rsidRDefault="00144816" w:rsidP="005D28A2">
            <w:pPr>
              <w:pStyle w:val="TableText"/>
            </w:pPr>
            <w:r w:rsidRPr="00144816">
              <w:t>19/19/19</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Allen 1979 298425 (UK)</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BCC anywhere in the body</w:t>
            </w:r>
          </w:p>
        </w:tc>
        <w:tc>
          <w:tcPr>
            <w:tcW w:w="2589" w:type="dxa"/>
            <w:shd w:val="clear" w:color="auto" w:fill="auto"/>
            <w:noWrap/>
            <w:hideMark/>
          </w:tcPr>
          <w:p w:rsidR="00144816" w:rsidRPr="00144816" w:rsidRDefault="00144816" w:rsidP="005D28A2">
            <w:pPr>
              <w:pStyle w:val="TableText"/>
            </w:pPr>
            <w:r w:rsidRPr="00144816">
              <w:t>&lt;18 y/o; previous deep x-ray tx or cryotherapy; lesion near the eye when the other eye sees less than 6/18.</w:t>
            </w:r>
          </w:p>
        </w:tc>
        <w:tc>
          <w:tcPr>
            <w:tcW w:w="1751" w:type="dxa"/>
            <w:shd w:val="clear" w:color="auto" w:fill="auto"/>
            <w:noWrap/>
            <w:hideMark/>
          </w:tcPr>
          <w:p w:rsidR="00144816" w:rsidRPr="00144816" w:rsidRDefault="00144816" w:rsidP="005D28A2">
            <w:pPr>
              <w:pStyle w:val="TableText"/>
            </w:pPr>
            <w:r w:rsidRPr="00144816">
              <w:t>Method of diagnosis not reported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31/31/31</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Alpsoy 1996 8708151 (Turkey)</w:t>
            </w:r>
          </w:p>
        </w:tc>
        <w:tc>
          <w:tcPr>
            <w:tcW w:w="1170" w:type="dxa"/>
            <w:shd w:val="clear" w:color="auto" w:fill="auto"/>
            <w:noWrap/>
            <w:hideMark/>
          </w:tcPr>
          <w:p w:rsidR="00144816" w:rsidRPr="00144816" w:rsidRDefault="00144816" w:rsidP="005D28A2">
            <w:pPr>
              <w:pStyle w:val="TableText"/>
            </w:pPr>
            <w:r w:rsidRPr="00144816">
              <w:t>Unclear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adults with histologically confirmed BCC</w:t>
            </w:r>
          </w:p>
        </w:tc>
        <w:tc>
          <w:tcPr>
            <w:tcW w:w="2589" w:type="dxa"/>
            <w:shd w:val="clear" w:color="auto" w:fill="auto"/>
            <w:noWrap/>
            <w:hideMark/>
          </w:tcPr>
          <w:p w:rsidR="00144816" w:rsidRPr="00144816" w:rsidRDefault="00144816" w:rsidP="005D28A2">
            <w:pPr>
              <w:pStyle w:val="TableText"/>
            </w:pPr>
            <w:r w:rsidRPr="00144816">
              <w:t>recurrent lesions, genetic or nevoid conditions, or lesions with deep tissue involvement</w:t>
            </w:r>
          </w:p>
        </w:tc>
        <w:tc>
          <w:tcPr>
            <w:tcW w:w="1751" w:type="dxa"/>
            <w:shd w:val="clear" w:color="auto" w:fill="auto"/>
            <w:noWrap/>
            <w:hideMark/>
          </w:tcPr>
          <w:p w:rsidR="00144816" w:rsidRPr="00144816" w:rsidRDefault="00144816" w:rsidP="005D28A2">
            <w:pPr>
              <w:pStyle w:val="TableText"/>
            </w:pPr>
            <w:r w:rsidRPr="00144816">
              <w:t>Biopsy/pathologic confirmed: histologically confirmed BCC</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45/45/45</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Arits 2013 23683751 (Netherlands)</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1 primary, histologically proven superficial BCC per patient</w:t>
            </w:r>
          </w:p>
        </w:tc>
        <w:tc>
          <w:tcPr>
            <w:tcW w:w="2589" w:type="dxa"/>
            <w:shd w:val="clear" w:color="auto" w:fill="auto"/>
            <w:noWrap/>
            <w:hideMark/>
          </w:tcPr>
          <w:p w:rsidR="00144816" w:rsidRPr="00144816" w:rsidRDefault="00144816" w:rsidP="005D28A2">
            <w:pPr>
              <w:pStyle w:val="TableText"/>
            </w:pPr>
            <w:r w:rsidRPr="00144816">
              <w:t>using immunosuppressive drugs, had genetic skin cancer disorders, tumour was located in the H zone or scalp, or were breastfeeding or pregnant</w:t>
            </w:r>
          </w:p>
        </w:tc>
        <w:tc>
          <w:tcPr>
            <w:tcW w:w="1751" w:type="dxa"/>
            <w:shd w:val="clear" w:color="auto" w:fill="auto"/>
            <w:noWrap/>
            <w:hideMark/>
          </w:tcPr>
          <w:p w:rsidR="00144816" w:rsidRPr="00144816" w:rsidRDefault="00144816" w:rsidP="005D28A2">
            <w:pPr>
              <w:pStyle w:val="TableText"/>
            </w:pPr>
            <w:r w:rsidRPr="00144816">
              <w:t xml:space="preserve">Biopsy/pathologic confirmed: 3 mm punch biopsy and was assessed by </w:t>
            </w:r>
            <w:r w:rsidR="005B3396">
              <w:t>consensus</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601/601/583</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Avril 1997 9218740 (France)</w:t>
            </w:r>
          </w:p>
        </w:tc>
        <w:tc>
          <w:tcPr>
            <w:tcW w:w="1170" w:type="dxa"/>
            <w:shd w:val="clear" w:color="auto" w:fill="auto"/>
            <w:noWrap/>
            <w:hideMark/>
          </w:tcPr>
          <w:p w:rsidR="00144816" w:rsidRPr="00144816" w:rsidRDefault="00144816" w:rsidP="005D28A2">
            <w:pPr>
              <w:pStyle w:val="TableText"/>
            </w:pPr>
            <w:r w:rsidRPr="00144816">
              <w:t>Unclear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previously untreated BCC of the face, Ø &lt; 4 cm.</w:t>
            </w:r>
          </w:p>
        </w:tc>
        <w:tc>
          <w:tcPr>
            <w:tcW w:w="2589" w:type="dxa"/>
            <w:shd w:val="clear" w:color="auto" w:fill="auto"/>
            <w:noWrap/>
            <w:hideMark/>
          </w:tcPr>
          <w:p w:rsidR="00144816" w:rsidRPr="00144816" w:rsidRDefault="00144816" w:rsidP="005D28A2">
            <w:pPr>
              <w:pStyle w:val="TableText"/>
            </w:pPr>
            <w:r w:rsidRPr="00144816">
              <w:t>contraindication to surgery and radiotherapy, BCC on the scalp or the neck, pts</w:t>
            </w:r>
            <w:r w:rsidRPr="00144816">
              <w:br/>
              <w:t>with total removal of BCC at biopsy, pts w/ &gt;=5 BCCs, LE &lt;3 yrs</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360/360/347</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 xml:space="preserve">Basset-Seguin 2008 18693158 (13 centers in 7 </w:t>
            </w:r>
            <w:r w:rsidRPr="00144816">
              <w:lastRenderedPageBreak/>
              <w:t>european countries)</w:t>
            </w:r>
          </w:p>
        </w:tc>
        <w:tc>
          <w:tcPr>
            <w:tcW w:w="1170" w:type="dxa"/>
            <w:shd w:val="clear" w:color="auto" w:fill="auto"/>
            <w:noWrap/>
            <w:hideMark/>
          </w:tcPr>
          <w:p w:rsidR="00144816" w:rsidRPr="00144816" w:rsidRDefault="00144816" w:rsidP="005D28A2">
            <w:pPr>
              <w:pStyle w:val="TableText"/>
            </w:pPr>
            <w:r w:rsidRPr="00144816">
              <w:lastRenderedPageBreak/>
              <w:t>Multicenter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 xml:space="preserve">&gt;=18 y/o w/ previously untreated primary superficial </w:t>
            </w:r>
            <w:r w:rsidRPr="00144816">
              <w:lastRenderedPageBreak/>
              <w:t>BCC lesions suitable for cryotherapy. confirmed by histology using 4 mm punch biopsy. &lt;=10 eligible lesions. Ø 6-15 mm on the face or scalp, &lt;20 mm on the extremities or neck and &lt;30 mm on the trunk, which were not pigmented, morpheaform or infiltrating.</w:t>
            </w:r>
          </w:p>
        </w:tc>
        <w:tc>
          <w:tcPr>
            <w:tcW w:w="2589" w:type="dxa"/>
            <w:shd w:val="clear" w:color="auto" w:fill="auto"/>
            <w:noWrap/>
            <w:hideMark/>
          </w:tcPr>
          <w:p w:rsidR="00144816" w:rsidRPr="00144816" w:rsidRDefault="00144816" w:rsidP="005D28A2">
            <w:pPr>
              <w:pStyle w:val="TableText"/>
            </w:pPr>
            <w:r w:rsidRPr="00144816">
              <w:lastRenderedPageBreak/>
              <w:t xml:space="preserve">xeroderma pigmentosum, porphyria, Gorlin’s syndrome, history of arsenic exposure, </w:t>
            </w:r>
            <w:r w:rsidRPr="00144816">
              <w:lastRenderedPageBreak/>
              <w:t>allergy to MAL or other topical photosensitizers or excipients of the cream, participated in other investigational studies in last 30 days and pregnant or breast-feeding women. Concomitant treatment with immunosuppressive medication</w:t>
            </w:r>
          </w:p>
        </w:tc>
        <w:tc>
          <w:tcPr>
            <w:tcW w:w="1751" w:type="dxa"/>
            <w:shd w:val="clear" w:color="auto" w:fill="auto"/>
            <w:noWrap/>
            <w:hideMark/>
          </w:tcPr>
          <w:p w:rsidR="00144816" w:rsidRPr="00144816" w:rsidRDefault="00144816" w:rsidP="005D28A2">
            <w:pPr>
              <w:pStyle w:val="TableText"/>
            </w:pPr>
            <w:r w:rsidRPr="00144816">
              <w:lastRenderedPageBreak/>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120/118/115</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Bath-Hextall 2014 24332516 (UK)</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supplied materials</w:t>
            </w:r>
          </w:p>
        </w:tc>
        <w:tc>
          <w:tcPr>
            <w:tcW w:w="1890" w:type="dxa"/>
            <w:shd w:val="clear" w:color="auto" w:fill="auto"/>
            <w:noWrap/>
            <w:hideMark/>
          </w:tcPr>
          <w:p w:rsidR="00144816" w:rsidRPr="00144816" w:rsidRDefault="00144816" w:rsidP="005D28A2">
            <w:pPr>
              <w:pStyle w:val="TableText"/>
            </w:pPr>
            <w:r w:rsidRPr="00144816">
              <w:t>histologically confirmed, primary, previously untreated, nodular or superficial BCC not arising at sites at high risk for subclinical tumour spread</w:t>
            </w:r>
          </w:p>
        </w:tc>
        <w:tc>
          <w:tcPr>
            <w:tcW w:w="2589" w:type="dxa"/>
            <w:shd w:val="clear" w:color="auto" w:fill="auto"/>
            <w:noWrap/>
            <w:hideMark/>
          </w:tcPr>
          <w:p w:rsidR="00144816" w:rsidRPr="00144816" w:rsidRDefault="00144816" w:rsidP="005D28A2">
            <w:pPr>
              <w:pStyle w:val="TableText"/>
            </w:pPr>
            <w:r w:rsidRPr="00144816">
              <w:t>morphoeic or recurrent BCC and those with Gorlin syndrome</w:t>
            </w:r>
          </w:p>
        </w:tc>
        <w:tc>
          <w:tcPr>
            <w:tcW w:w="1751" w:type="dxa"/>
            <w:shd w:val="clear" w:color="auto" w:fill="auto"/>
            <w:noWrap/>
            <w:hideMark/>
          </w:tcPr>
          <w:p w:rsidR="00144816" w:rsidRPr="00144816" w:rsidRDefault="00144816" w:rsidP="005D28A2">
            <w:pPr>
              <w:pStyle w:val="TableText"/>
            </w:pPr>
            <w:r w:rsidRPr="00144816">
              <w:t>Biopsy/pathologic confirmed: Histologically proven BCC (usually a punch or shave biopsy specimen of no more than 25% of the total lesion, though sometimes at surgery)</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501/501/485</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Berroeta 2007 17573890 (United Kingdom)</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&lt;= 2 cm, well-define, nodular BCC on anatomically noncritical sites</w:t>
            </w:r>
          </w:p>
        </w:tc>
        <w:tc>
          <w:tcPr>
            <w:tcW w:w="2589" w:type="dxa"/>
            <w:shd w:val="clear" w:color="auto" w:fill="auto"/>
            <w:noWrap/>
            <w:hideMark/>
          </w:tcPr>
          <w:p w:rsidR="00144816" w:rsidRPr="00144816" w:rsidRDefault="00144816" w:rsidP="005D28A2">
            <w:pPr>
              <w:pStyle w:val="TableText"/>
            </w:pPr>
            <w:r w:rsidRPr="00144816">
              <w:t>&lt; 18 y/o; pregnancy; photosensitivity; morphoeic BCCs; high-risk site; recurrent BCCs; immunodeficiency; size &gt; 2 cm.</w:t>
            </w:r>
          </w:p>
        </w:tc>
        <w:tc>
          <w:tcPr>
            <w:tcW w:w="1751" w:type="dxa"/>
            <w:shd w:val="clear" w:color="auto" w:fill="auto"/>
            <w:noWrap/>
            <w:hideMark/>
          </w:tcPr>
          <w:p w:rsidR="00144816" w:rsidRPr="00144816" w:rsidRDefault="00144816" w:rsidP="005D28A2">
            <w:pPr>
              <w:pStyle w:val="TableText"/>
            </w:pPr>
            <w:r w:rsidRPr="00144816">
              <w:t>Method of diagnosis not reported</w:t>
            </w:r>
          </w:p>
        </w:tc>
        <w:tc>
          <w:tcPr>
            <w:tcW w:w="1620" w:type="dxa"/>
            <w:shd w:val="clear" w:color="auto" w:fill="auto"/>
            <w:noWrap/>
            <w:hideMark/>
          </w:tcPr>
          <w:p w:rsidR="00144816" w:rsidRPr="00144816" w:rsidRDefault="00144816" w:rsidP="005D28A2">
            <w:pPr>
              <w:pStyle w:val="TableText"/>
            </w:pPr>
            <w:r w:rsidRPr="00144816">
              <w:t>Visual assessment: well defined &lt;=2 cm</w:t>
            </w:r>
          </w:p>
        </w:tc>
        <w:tc>
          <w:tcPr>
            <w:tcW w:w="1510" w:type="dxa"/>
            <w:shd w:val="clear" w:color="auto" w:fill="auto"/>
            <w:noWrap/>
            <w:hideMark/>
          </w:tcPr>
          <w:p w:rsidR="00144816" w:rsidRPr="00144816" w:rsidRDefault="00144816" w:rsidP="005D28A2">
            <w:pPr>
              <w:pStyle w:val="TableText"/>
            </w:pPr>
            <w:r w:rsidRPr="00144816">
              <w:t>31/31/31</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Beutner 1999 10570388 (USA)</w:t>
            </w:r>
          </w:p>
        </w:tc>
        <w:tc>
          <w:tcPr>
            <w:tcW w:w="1170" w:type="dxa"/>
            <w:shd w:val="clear" w:color="auto" w:fill="auto"/>
            <w:noWrap/>
            <w:hideMark/>
          </w:tcPr>
          <w:p w:rsidR="00144816" w:rsidRPr="00144816" w:rsidRDefault="00144816" w:rsidP="005D28A2">
            <w:pPr>
              <w:pStyle w:val="TableText"/>
            </w:pPr>
            <w:r w:rsidRPr="00144816">
              <w:t>Unclear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biopsy-confirmed BCC with clearly visible margins, nodular w/ area 0.5 -1.5 cm^2, or superficial w/ area of 0.5-2 cm^2, and that was suitable for tx by surgical excision.</w:t>
            </w:r>
          </w:p>
        </w:tc>
        <w:tc>
          <w:tcPr>
            <w:tcW w:w="2589" w:type="dxa"/>
            <w:shd w:val="clear" w:color="auto" w:fill="auto"/>
            <w:noWrap/>
            <w:hideMark/>
          </w:tcPr>
          <w:p w:rsidR="00144816" w:rsidRPr="00144816" w:rsidRDefault="00144816" w:rsidP="005D28A2">
            <w:pPr>
              <w:pStyle w:val="TableText"/>
            </w:pPr>
            <w:r w:rsidRPr="00144816">
              <w:t>central facial/periorificial sites</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35/35/35</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Brinkhuizen 2016 27067393 (Netherlands)</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Industry supplied materials</w:t>
            </w:r>
          </w:p>
        </w:tc>
        <w:tc>
          <w:tcPr>
            <w:tcW w:w="1890" w:type="dxa"/>
            <w:shd w:val="clear" w:color="auto" w:fill="auto"/>
            <w:noWrap/>
            <w:hideMark/>
          </w:tcPr>
          <w:p w:rsidR="00144816" w:rsidRPr="00144816" w:rsidRDefault="00144816" w:rsidP="005D28A2">
            <w:pPr>
              <w:pStyle w:val="TableText"/>
            </w:pPr>
            <w:r w:rsidRPr="00144816">
              <w:t>Patients with histologically proven primary sBCC or (micro) nBCC &gt;=4 mm, not located on the face or on the hairy scalp</w:t>
            </w:r>
          </w:p>
        </w:tc>
        <w:tc>
          <w:tcPr>
            <w:tcW w:w="2589" w:type="dxa"/>
            <w:shd w:val="clear" w:color="auto" w:fill="auto"/>
            <w:noWrap/>
            <w:hideMark/>
          </w:tcPr>
          <w:p w:rsidR="00144816" w:rsidRPr="00144816" w:rsidRDefault="00144816" w:rsidP="005D28A2">
            <w:pPr>
              <w:pStyle w:val="TableText"/>
            </w:pP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Visual assessment</w:t>
            </w:r>
          </w:p>
        </w:tc>
        <w:tc>
          <w:tcPr>
            <w:tcW w:w="1510" w:type="dxa"/>
            <w:shd w:val="clear" w:color="auto" w:fill="auto"/>
            <w:noWrap/>
            <w:hideMark/>
          </w:tcPr>
          <w:p w:rsidR="00144816" w:rsidRPr="00144816" w:rsidRDefault="00144816" w:rsidP="005D28A2">
            <w:pPr>
              <w:pStyle w:val="TableText"/>
            </w:pPr>
            <w:r w:rsidRPr="00144816">
              <w:t>128/128/119</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Butler 2009 19018814 (texas, usa)</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Immunocompetent, non-pregnant, &gt;=18 y/o, primary nodular nasal BCCs, &lt;1 cm</w:t>
            </w:r>
          </w:p>
        </w:tc>
        <w:tc>
          <w:tcPr>
            <w:tcW w:w="2589" w:type="dxa"/>
            <w:shd w:val="clear" w:color="auto" w:fill="auto"/>
            <w:noWrap/>
            <w:hideMark/>
          </w:tcPr>
          <w:p w:rsidR="00144816" w:rsidRPr="00144816" w:rsidRDefault="00144816" w:rsidP="005D28A2">
            <w:pPr>
              <w:pStyle w:val="TableText"/>
            </w:pPr>
            <w:r w:rsidRPr="00144816">
              <w:t>superficial, morpheaform, or micronodular histologic BCC</w:t>
            </w:r>
          </w:p>
        </w:tc>
        <w:tc>
          <w:tcPr>
            <w:tcW w:w="1751" w:type="dxa"/>
            <w:shd w:val="clear" w:color="auto" w:fill="auto"/>
            <w:noWrap/>
            <w:hideMark/>
          </w:tcPr>
          <w:p w:rsidR="00144816" w:rsidRPr="00144816" w:rsidRDefault="00144816" w:rsidP="005D28A2">
            <w:pPr>
              <w:pStyle w:val="TableText"/>
            </w:pPr>
            <w:r w:rsidRPr="00144816">
              <w:t>Biopsy/pathologic confirmed: histological confirmation of BCC before study  enrollment with a 2-mm punch biopsy by a pathol- ogist.</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31/31/31 (ITT) 28 actual</w:t>
            </w:r>
          </w:p>
        </w:tc>
      </w:tr>
      <w:tr w:rsidR="000115D5" w:rsidRPr="00144816" w:rsidTr="005D28A2">
        <w:trPr>
          <w:trHeight w:val="728"/>
        </w:trPr>
        <w:tc>
          <w:tcPr>
            <w:tcW w:w="1890" w:type="dxa"/>
            <w:shd w:val="clear" w:color="auto" w:fill="auto"/>
            <w:noWrap/>
            <w:hideMark/>
          </w:tcPr>
          <w:p w:rsidR="00144816" w:rsidRPr="00144816" w:rsidRDefault="00144816" w:rsidP="005D28A2">
            <w:pPr>
              <w:pStyle w:val="TableText"/>
            </w:pPr>
            <w:r w:rsidRPr="00144816">
              <w:t>Cai 2015 25899562 (china)</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having skin BD upon biopsy</w:t>
            </w:r>
          </w:p>
        </w:tc>
        <w:tc>
          <w:tcPr>
            <w:tcW w:w="2589" w:type="dxa"/>
            <w:shd w:val="clear" w:color="auto" w:fill="auto"/>
            <w:noWrap/>
            <w:hideMark/>
          </w:tcPr>
          <w:p w:rsidR="00144816" w:rsidRPr="00144816" w:rsidRDefault="00144816" w:rsidP="005D28A2">
            <w:pPr>
              <w:pStyle w:val="TableText"/>
            </w:pPr>
            <w:r w:rsidRPr="00144816">
              <w:t>porphyria or photosensitivity</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18/18/18</w:t>
            </w:r>
          </w:p>
        </w:tc>
      </w:tr>
      <w:tr w:rsidR="008F6D96" w:rsidRPr="00144816" w:rsidTr="005D28A2">
        <w:trPr>
          <w:trHeight w:val="260"/>
        </w:trPr>
        <w:tc>
          <w:tcPr>
            <w:tcW w:w="1890" w:type="dxa"/>
            <w:shd w:val="clear" w:color="auto" w:fill="auto"/>
            <w:noWrap/>
          </w:tcPr>
          <w:p w:rsidR="008F6D96" w:rsidRPr="00144816" w:rsidRDefault="008F6D96" w:rsidP="005D28A2">
            <w:pPr>
              <w:pStyle w:val="TableText"/>
            </w:pPr>
            <w:r>
              <w:t>Carija 2016 27516420</w:t>
            </w:r>
          </w:p>
        </w:tc>
        <w:tc>
          <w:tcPr>
            <w:tcW w:w="1170" w:type="dxa"/>
            <w:shd w:val="clear" w:color="auto" w:fill="auto"/>
            <w:noWrap/>
          </w:tcPr>
          <w:p w:rsidR="008F6D96" w:rsidRPr="00144816" w:rsidRDefault="008F6D96" w:rsidP="005D28A2">
            <w:pPr>
              <w:pStyle w:val="TableText"/>
            </w:pPr>
            <w:r>
              <w:t>Single center</w:t>
            </w:r>
          </w:p>
        </w:tc>
        <w:tc>
          <w:tcPr>
            <w:tcW w:w="1260" w:type="dxa"/>
            <w:shd w:val="clear" w:color="auto" w:fill="auto"/>
            <w:noWrap/>
          </w:tcPr>
          <w:p w:rsidR="008F6D96" w:rsidRPr="00144816" w:rsidRDefault="008F6D96" w:rsidP="005D28A2">
            <w:pPr>
              <w:pStyle w:val="TableText"/>
            </w:pPr>
            <w:r w:rsidRPr="00144816">
              <w:t>No industry support</w:t>
            </w:r>
          </w:p>
        </w:tc>
        <w:tc>
          <w:tcPr>
            <w:tcW w:w="1890" w:type="dxa"/>
            <w:shd w:val="clear" w:color="auto" w:fill="auto"/>
            <w:noWrap/>
          </w:tcPr>
          <w:p w:rsidR="008F6D96" w:rsidRPr="00144816" w:rsidRDefault="008F6D96" w:rsidP="005D28A2">
            <w:pPr>
              <w:pStyle w:val="TableText"/>
            </w:pPr>
            <w:r w:rsidRPr="008F6D96">
              <w:t>&gt;18 years, &gt;2 BCCs, biopsy proven</w:t>
            </w:r>
          </w:p>
        </w:tc>
        <w:tc>
          <w:tcPr>
            <w:tcW w:w="2589" w:type="dxa"/>
            <w:shd w:val="clear" w:color="auto" w:fill="auto"/>
            <w:noWrap/>
          </w:tcPr>
          <w:p w:rsidR="008F6D96" w:rsidRPr="00144816" w:rsidRDefault="008F6D96" w:rsidP="005D28A2">
            <w:pPr>
              <w:pStyle w:val="TableText"/>
            </w:pPr>
            <w:r w:rsidRPr="008F6D96">
              <w:t>lactating and pre</w:t>
            </w:r>
            <w:r>
              <w:t>gnant women, heavily pigmented</w:t>
            </w:r>
            <w:r w:rsidRPr="008F6D96">
              <w:t xml:space="preserve"> BCC, diagnosed porphyria</w:t>
            </w:r>
          </w:p>
        </w:tc>
        <w:tc>
          <w:tcPr>
            <w:tcW w:w="1751" w:type="dxa"/>
            <w:shd w:val="clear" w:color="auto" w:fill="auto"/>
            <w:noWrap/>
          </w:tcPr>
          <w:p w:rsidR="008F6D96" w:rsidRPr="00144816" w:rsidRDefault="008F6D96" w:rsidP="005D28A2">
            <w:pPr>
              <w:pStyle w:val="TableText"/>
            </w:pPr>
            <w:r w:rsidRPr="00144816">
              <w:t>Biopsy/pathologic confirmed</w:t>
            </w:r>
          </w:p>
        </w:tc>
        <w:tc>
          <w:tcPr>
            <w:tcW w:w="1620" w:type="dxa"/>
            <w:shd w:val="clear" w:color="auto" w:fill="auto"/>
            <w:noWrap/>
          </w:tcPr>
          <w:p w:rsidR="008F6D96" w:rsidRPr="00144816" w:rsidRDefault="008F6D96" w:rsidP="005D28A2">
            <w:pPr>
              <w:pStyle w:val="TableText"/>
            </w:pPr>
            <w:r w:rsidRPr="00144816">
              <w:t>assessment:</w:t>
            </w:r>
            <w:r>
              <w:t xml:space="preserve"> </w:t>
            </w:r>
            <w:r w:rsidRPr="008F6D96">
              <w:t>traced onto graph paper and count squares</w:t>
            </w:r>
          </w:p>
        </w:tc>
        <w:tc>
          <w:tcPr>
            <w:tcW w:w="1510" w:type="dxa"/>
            <w:shd w:val="clear" w:color="auto" w:fill="auto"/>
            <w:noWrap/>
          </w:tcPr>
          <w:p w:rsidR="008F6D96" w:rsidRPr="00144816" w:rsidRDefault="008F6D96" w:rsidP="005D28A2">
            <w:pPr>
              <w:pStyle w:val="TableText"/>
            </w:pPr>
            <w:r>
              <w:t>15/15/15</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Choi 2016 26551044 (korea)</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≥18 y/o, untreated thin primary nBCC, maximum tumour depth of 2 mm in a biopsy specimen and clinical evaluation,  surgical excision would be difficult because of bleeding abnormalities or cardiac problems.</w:t>
            </w:r>
          </w:p>
        </w:tc>
        <w:tc>
          <w:tcPr>
            <w:tcW w:w="2589" w:type="dxa"/>
            <w:shd w:val="clear" w:color="auto" w:fill="auto"/>
            <w:noWrap/>
            <w:hideMark/>
          </w:tcPr>
          <w:p w:rsidR="00144816" w:rsidRPr="00144816" w:rsidRDefault="00144816" w:rsidP="005D28A2">
            <w:pPr>
              <w:pStyle w:val="TableText"/>
            </w:pPr>
            <w:r w:rsidRPr="00144816">
              <w:t>&gt;5 eligible lesions; lesions located in the midface region, nose, orbital areas or ears; Ø &gt;15 mm; non-nodular; known allergies to MAL or lidocaine; pregnancy or lactation; active systemic infectious disease; immunosuppressive treatment; personal history of malignant melanoma; tendency toward melasma or keloid formation; any indication of poor compliance.</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39  (42 lesions)/39 (42 lesions)/34 patients (37 lesions)</w:t>
            </w:r>
          </w:p>
        </w:tc>
      </w:tr>
      <w:tr w:rsidR="00CC2A64" w:rsidRPr="00144816" w:rsidTr="005D28A2">
        <w:trPr>
          <w:trHeight w:val="260"/>
        </w:trPr>
        <w:tc>
          <w:tcPr>
            <w:tcW w:w="1890" w:type="dxa"/>
            <w:shd w:val="clear" w:color="auto" w:fill="auto"/>
            <w:noWrap/>
          </w:tcPr>
          <w:p w:rsidR="00CC2A64" w:rsidRPr="00144816" w:rsidRDefault="00CC2A64" w:rsidP="005D28A2">
            <w:pPr>
              <w:pStyle w:val="TableText"/>
            </w:pPr>
            <w:r>
              <w:t>Choi 2017 28199463</w:t>
            </w:r>
          </w:p>
        </w:tc>
        <w:tc>
          <w:tcPr>
            <w:tcW w:w="1170" w:type="dxa"/>
            <w:shd w:val="clear" w:color="auto" w:fill="auto"/>
            <w:noWrap/>
          </w:tcPr>
          <w:p w:rsidR="00CC2A64" w:rsidRPr="00144816" w:rsidRDefault="00CC2A64" w:rsidP="005D28A2">
            <w:pPr>
              <w:pStyle w:val="TableText"/>
            </w:pPr>
            <w:r>
              <w:t>Single center</w:t>
            </w:r>
          </w:p>
        </w:tc>
        <w:tc>
          <w:tcPr>
            <w:tcW w:w="1260" w:type="dxa"/>
            <w:shd w:val="clear" w:color="auto" w:fill="auto"/>
            <w:noWrap/>
          </w:tcPr>
          <w:p w:rsidR="00CC2A64" w:rsidRPr="00144816" w:rsidRDefault="00CC2A64" w:rsidP="005D28A2">
            <w:pPr>
              <w:pStyle w:val="TableText"/>
            </w:pPr>
            <w:r>
              <w:t>Not reported</w:t>
            </w:r>
          </w:p>
        </w:tc>
        <w:tc>
          <w:tcPr>
            <w:tcW w:w="1890" w:type="dxa"/>
            <w:shd w:val="clear" w:color="auto" w:fill="auto"/>
            <w:noWrap/>
          </w:tcPr>
          <w:p w:rsidR="00CC2A64" w:rsidRPr="00144816" w:rsidRDefault="00CC2A64" w:rsidP="005D28A2">
            <w:pPr>
              <w:pStyle w:val="TableText"/>
            </w:pPr>
            <w:r w:rsidRPr="00CC2A64">
              <w:t xml:space="preserve">&gt; 18 years with previously untreated microinvasive SCC, </w:t>
            </w:r>
            <w:r w:rsidRPr="00CC2A64">
              <w:lastRenderedPageBreak/>
              <w:t>tumor invasion into the papillary dermis (Clark level II) according to a biopsy specimen and difficulty in surgical excision because of health problems</w:t>
            </w:r>
          </w:p>
        </w:tc>
        <w:tc>
          <w:tcPr>
            <w:tcW w:w="2589" w:type="dxa"/>
            <w:shd w:val="clear" w:color="auto" w:fill="auto"/>
            <w:noWrap/>
          </w:tcPr>
          <w:p w:rsidR="00CC2A64" w:rsidRPr="00144816" w:rsidRDefault="00CC2A64" w:rsidP="005D28A2">
            <w:pPr>
              <w:pStyle w:val="TableText"/>
            </w:pPr>
            <w:r w:rsidRPr="00CC2A64">
              <w:lastRenderedPageBreak/>
              <w:t xml:space="preserve">pregnancy or lactation; active systemic infectious disease; other inflammatory, </w:t>
            </w:r>
            <w:r w:rsidRPr="00CC2A64">
              <w:lastRenderedPageBreak/>
              <w:t>infectious, or neoplastic skin diseases in the treated area; allergy to MAL,other topical photosensitizers, or excipients of the cream; history of photosensitivity; use of immunosuppressive or photosensitizing drugs; participation in any other investigational study in the preceding 30 days; history or indicators of poor compliance. Histological findings of acantholysis, desmoplasia, perineural or lymphovascular invasion, and echographic features of regional lymph node metastasis</w:t>
            </w:r>
          </w:p>
        </w:tc>
        <w:tc>
          <w:tcPr>
            <w:tcW w:w="1751" w:type="dxa"/>
            <w:shd w:val="clear" w:color="auto" w:fill="auto"/>
            <w:noWrap/>
          </w:tcPr>
          <w:p w:rsidR="00CC2A64" w:rsidRPr="00144816" w:rsidRDefault="00CC2A64" w:rsidP="005D28A2">
            <w:pPr>
              <w:pStyle w:val="TableText"/>
            </w:pPr>
            <w:r w:rsidRPr="00144816">
              <w:lastRenderedPageBreak/>
              <w:t xml:space="preserve">Biopsy/pathologic confirmed: </w:t>
            </w:r>
            <w:r>
              <w:t>4 mm punch</w:t>
            </w:r>
            <w:r w:rsidRPr="00144816">
              <w:t xml:space="preserve"> biopsy</w:t>
            </w:r>
          </w:p>
        </w:tc>
        <w:tc>
          <w:tcPr>
            <w:tcW w:w="1620" w:type="dxa"/>
            <w:shd w:val="clear" w:color="auto" w:fill="auto"/>
            <w:noWrap/>
          </w:tcPr>
          <w:p w:rsidR="00CC2A64" w:rsidRPr="00144816" w:rsidRDefault="00CC2A64" w:rsidP="005D28A2">
            <w:pPr>
              <w:pStyle w:val="TableText"/>
            </w:pPr>
            <w:r w:rsidRPr="00144816">
              <w:t>Visual assessment:</w:t>
            </w:r>
            <w:r>
              <w:t xml:space="preserve"> </w:t>
            </w:r>
            <w:r w:rsidRPr="00CC2A64">
              <w:t>photographed</w:t>
            </w:r>
            <w:r>
              <w:t xml:space="preserve"> for </w:t>
            </w:r>
            <w:r>
              <w:lastRenderedPageBreak/>
              <w:t>baseline measurement</w:t>
            </w:r>
          </w:p>
        </w:tc>
        <w:tc>
          <w:tcPr>
            <w:tcW w:w="1510" w:type="dxa"/>
            <w:shd w:val="clear" w:color="auto" w:fill="auto"/>
            <w:noWrap/>
          </w:tcPr>
          <w:p w:rsidR="00CC2A64" w:rsidRPr="00144816" w:rsidRDefault="00CC2A64" w:rsidP="005D28A2">
            <w:pPr>
              <w:pStyle w:val="TableText"/>
            </w:pPr>
            <w:r>
              <w:lastRenderedPageBreak/>
              <w:t>45/45/40</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Cornell 1990 2229497 (US)</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superficial or noduloulcerative BCC confirmed by biopsy, 32-70 y/o, not pregnant, and in good general health.</w:t>
            </w:r>
          </w:p>
        </w:tc>
        <w:tc>
          <w:tcPr>
            <w:tcW w:w="2589" w:type="dxa"/>
            <w:shd w:val="clear" w:color="auto" w:fill="auto"/>
            <w:noWrap/>
            <w:hideMark/>
          </w:tcPr>
          <w:p w:rsidR="00144816" w:rsidRPr="00144816" w:rsidRDefault="00144816" w:rsidP="005D28A2">
            <w:pPr>
              <w:pStyle w:val="TableText"/>
            </w:pPr>
            <w:r w:rsidRPr="00144816">
              <w:t>previous therapy to the test lesion, immunosuppressive or cytotoxic therapy (within the prior 4 wks), or exogenous interferon/interferon-inducer except interferonalfa-2b (Intron A), BCC located in the perioral or central area of the face or penetrating to deep tissue</w:t>
            </w:r>
          </w:p>
        </w:tc>
        <w:tc>
          <w:tcPr>
            <w:tcW w:w="1751" w:type="dxa"/>
            <w:shd w:val="clear" w:color="auto" w:fill="auto"/>
            <w:noWrap/>
            <w:hideMark/>
          </w:tcPr>
          <w:p w:rsidR="00144816" w:rsidRPr="00144816" w:rsidRDefault="00144816" w:rsidP="005D28A2">
            <w:pPr>
              <w:pStyle w:val="TableText"/>
            </w:pPr>
            <w:r w:rsidRPr="00144816">
              <w:t>Biopsy/pathologic confirmed: punch or shave biopsy</w:t>
            </w:r>
          </w:p>
        </w:tc>
        <w:tc>
          <w:tcPr>
            <w:tcW w:w="1620" w:type="dxa"/>
            <w:shd w:val="clear" w:color="auto" w:fill="auto"/>
            <w:noWrap/>
            <w:hideMark/>
          </w:tcPr>
          <w:p w:rsidR="00144816" w:rsidRPr="00144816" w:rsidRDefault="00144816" w:rsidP="005D28A2">
            <w:pPr>
              <w:pStyle w:val="TableText"/>
            </w:pPr>
            <w:r w:rsidRPr="00144816">
              <w:t>Visual assessment: photographed and its size and anatomic location were precisely defined.</w:t>
            </w:r>
          </w:p>
        </w:tc>
        <w:tc>
          <w:tcPr>
            <w:tcW w:w="1510" w:type="dxa"/>
            <w:shd w:val="clear" w:color="auto" w:fill="auto"/>
            <w:noWrap/>
            <w:hideMark/>
          </w:tcPr>
          <w:p w:rsidR="00144816" w:rsidRPr="00144816" w:rsidRDefault="00144816" w:rsidP="005D28A2">
            <w:pPr>
              <w:pStyle w:val="TableText"/>
            </w:pPr>
            <w:r w:rsidRPr="00144816">
              <w:t>172/172/165</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Edwards 1990 2107219 (U.S.)</w:t>
            </w:r>
          </w:p>
        </w:tc>
        <w:tc>
          <w:tcPr>
            <w:tcW w:w="1170" w:type="dxa"/>
            <w:shd w:val="clear" w:color="auto" w:fill="auto"/>
            <w:noWrap/>
            <w:hideMark/>
          </w:tcPr>
          <w:p w:rsidR="00144816" w:rsidRPr="00144816" w:rsidRDefault="00144816" w:rsidP="005D28A2">
            <w:pPr>
              <w:pStyle w:val="TableText"/>
            </w:pPr>
            <w:r w:rsidRPr="00144816">
              <w:t>Unclear</w:t>
            </w:r>
          </w:p>
        </w:tc>
        <w:tc>
          <w:tcPr>
            <w:tcW w:w="1260" w:type="dxa"/>
            <w:shd w:val="clear" w:color="auto" w:fill="auto"/>
            <w:noWrap/>
            <w:hideMark/>
          </w:tcPr>
          <w:p w:rsidR="00144816" w:rsidRPr="00144816" w:rsidRDefault="00144816" w:rsidP="005D28A2">
            <w:pPr>
              <w:pStyle w:val="TableText"/>
            </w:pPr>
            <w:r w:rsidRPr="00144816">
              <w:t>Industry supplied materials</w:t>
            </w:r>
          </w:p>
        </w:tc>
        <w:tc>
          <w:tcPr>
            <w:tcW w:w="1890" w:type="dxa"/>
            <w:shd w:val="clear" w:color="auto" w:fill="auto"/>
            <w:noWrap/>
            <w:hideMark/>
          </w:tcPr>
          <w:p w:rsidR="00144816" w:rsidRPr="00144816" w:rsidRDefault="00144816" w:rsidP="005D28A2">
            <w:pPr>
              <w:pStyle w:val="TableText"/>
            </w:pPr>
            <w:r w:rsidRPr="00144816">
              <w:t>clinically typical, sharply defined BCC easily excisable at the end of the study</w:t>
            </w:r>
          </w:p>
        </w:tc>
        <w:tc>
          <w:tcPr>
            <w:tcW w:w="2589" w:type="dxa"/>
            <w:shd w:val="clear" w:color="auto" w:fill="auto"/>
            <w:noWrap/>
            <w:hideMark/>
          </w:tcPr>
          <w:p w:rsidR="00144816" w:rsidRPr="00144816" w:rsidRDefault="00144816" w:rsidP="005D28A2">
            <w:pPr>
              <w:pStyle w:val="TableText"/>
            </w:pPr>
            <w:r w:rsidRPr="00144816">
              <w:t>any serious or debilitating illness, history of thromboembolic phenomena or CVD, received rt to the test site area or who had a history of arsenic ingestion, pregnant or nursing women, immunosuppressed, pts taking nonsteroidal anti-inflammatory medications</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Visual assessment: at randomization, immediately before treatment and at the beginning of each treatment week</w:t>
            </w:r>
          </w:p>
        </w:tc>
        <w:tc>
          <w:tcPr>
            <w:tcW w:w="1510" w:type="dxa"/>
            <w:shd w:val="clear" w:color="auto" w:fill="auto"/>
            <w:noWrap/>
            <w:hideMark/>
          </w:tcPr>
          <w:p w:rsidR="00144816" w:rsidRPr="00144816" w:rsidRDefault="00144816" w:rsidP="005D28A2">
            <w:pPr>
              <w:pStyle w:val="TableText"/>
            </w:pPr>
            <w:r w:rsidRPr="00144816">
              <w:t>29/29/29</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 xml:space="preserve">Edwards 1990 </w:t>
            </w:r>
            <w:r w:rsidRPr="00144816">
              <w:lastRenderedPageBreak/>
              <w:t>2383027 (U.S.)</w:t>
            </w:r>
          </w:p>
        </w:tc>
        <w:tc>
          <w:tcPr>
            <w:tcW w:w="1170" w:type="dxa"/>
            <w:shd w:val="clear" w:color="auto" w:fill="auto"/>
            <w:noWrap/>
            <w:hideMark/>
          </w:tcPr>
          <w:p w:rsidR="00144816" w:rsidRPr="00144816" w:rsidRDefault="00144816" w:rsidP="005D28A2">
            <w:pPr>
              <w:pStyle w:val="TableText"/>
            </w:pPr>
            <w:r w:rsidRPr="00144816">
              <w:lastRenderedPageBreak/>
              <w:t>Unclear</w:t>
            </w:r>
          </w:p>
        </w:tc>
        <w:tc>
          <w:tcPr>
            <w:tcW w:w="1260" w:type="dxa"/>
            <w:shd w:val="clear" w:color="auto" w:fill="auto"/>
            <w:noWrap/>
            <w:hideMark/>
          </w:tcPr>
          <w:p w:rsidR="00144816" w:rsidRPr="00144816" w:rsidRDefault="00144816" w:rsidP="005D28A2">
            <w:pPr>
              <w:pStyle w:val="TableText"/>
            </w:pPr>
            <w:r w:rsidRPr="00144816">
              <w:t xml:space="preserve">Industry </w:t>
            </w:r>
            <w:r w:rsidRPr="00144816">
              <w:lastRenderedPageBreak/>
              <w:t>supplied materials</w:t>
            </w:r>
          </w:p>
        </w:tc>
        <w:tc>
          <w:tcPr>
            <w:tcW w:w="1890" w:type="dxa"/>
            <w:shd w:val="clear" w:color="auto" w:fill="auto"/>
            <w:noWrap/>
            <w:hideMark/>
          </w:tcPr>
          <w:p w:rsidR="00144816" w:rsidRPr="00144816" w:rsidRDefault="00144816" w:rsidP="005D28A2">
            <w:pPr>
              <w:pStyle w:val="TableText"/>
            </w:pPr>
            <w:r w:rsidRPr="00144816">
              <w:lastRenderedPageBreak/>
              <w:t xml:space="preserve">otherwise healthy </w:t>
            </w:r>
            <w:r w:rsidRPr="00144816">
              <w:lastRenderedPageBreak/>
              <w:t>35-65 y/o; 1 clinically typical, sharply defined basal cell carcinoma with clearly visible margins,  Ø 0.5 to 1.5 cm for nodular tumors or 2 cm for superficial lesions, per pt.</w:t>
            </w:r>
          </w:p>
        </w:tc>
        <w:tc>
          <w:tcPr>
            <w:tcW w:w="2589" w:type="dxa"/>
            <w:shd w:val="clear" w:color="auto" w:fill="auto"/>
            <w:noWrap/>
            <w:hideMark/>
          </w:tcPr>
          <w:p w:rsidR="00144816" w:rsidRPr="00144816" w:rsidRDefault="00144816" w:rsidP="005D28A2">
            <w:pPr>
              <w:pStyle w:val="TableText"/>
            </w:pPr>
            <w:r w:rsidRPr="00144816">
              <w:lastRenderedPageBreak/>
              <w:t xml:space="preserve">Morpheic BCC, recurrent </w:t>
            </w:r>
            <w:r w:rsidRPr="00144816">
              <w:lastRenderedPageBreak/>
              <w:t>cancers, deeply invasive lesions, periorificial tumors, and central facial BCC; serious or debilitating illness, a history of thromboembolic or CVD, rt to the test site area, or a history of arsenic ingestion. Pregnancy, breast-feeding, and immunosuppression as a result of medication or illness, nonsteroidal anti-inflammatory medications</w:t>
            </w:r>
          </w:p>
        </w:tc>
        <w:tc>
          <w:tcPr>
            <w:tcW w:w="1751" w:type="dxa"/>
            <w:shd w:val="clear" w:color="auto" w:fill="auto"/>
            <w:noWrap/>
            <w:hideMark/>
          </w:tcPr>
          <w:p w:rsidR="00144816" w:rsidRPr="00144816" w:rsidRDefault="00144816" w:rsidP="005D28A2">
            <w:pPr>
              <w:pStyle w:val="TableText"/>
            </w:pPr>
            <w:r w:rsidRPr="00144816">
              <w:lastRenderedPageBreak/>
              <w:t xml:space="preserve">Biopsy/pathologic </w:t>
            </w:r>
            <w:r w:rsidRPr="00144816">
              <w:lastRenderedPageBreak/>
              <w:t>confirmed: confirmatory diagnostic shave or punch skin biopsy that removed less than 25% of the lesion</w:t>
            </w:r>
          </w:p>
        </w:tc>
        <w:tc>
          <w:tcPr>
            <w:tcW w:w="1620" w:type="dxa"/>
            <w:shd w:val="clear" w:color="auto" w:fill="auto"/>
            <w:noWrap/>
            <w:hideMark/>
          </w:tcPr>
          <w:p w:rsidR="00144816" w:rsidRPr="00144816" w:rsidRDefault="00144816" w:rsidP="005D28A2">
            <w:pPr>
              <w:pStyle w:val="TableText"/>
            </w:pPr>
            <w:r w:rsidRPr="00144816">
              <w:lastRenderedPageBreak/>
              <w:t xml:space="preserve">Visual </w:t>
            </w:r>
            <w:r w:rsidRPr="00144816">
              <w:lastRenderedPageBreak/>
              <w:t>assessment: The size and a clinical description of each basal cell carcinoma were recorded. The lesion was then photographed.</w:t>
            </w:r>
          </w:p>
        </w:tc>
        <w:tc>
          <w:tcPr>
            <w:tcW w:w="1510" w:type="dxa"/>
            <w:shd w:val="clear" w:color="auto" w:fill="auto"/>
            <w:noWrap/>
            <w:hideMark/>
          </w:tcPr>
          <w:p w:rsidR="00144816" w:rsidRPr="00144816" w:rsidRDefault="00144816" w:rsidP="005D28A2">
            <w:pPr>
              <w:pStyle w:val="TableText"/>
            </w:pPr>
            <w:r w:rsidRPr="00144816">
              <w:lastRenderedPageBreak/>
              <w:t>65/65/63</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Eigentler 2007 17610993 (Germany)</w:t>
            </w:r>
          </w:p>
        </w:tc>
        <w:tc>
          <w:tcPr>
            <w:tcW w:w="1170" w:type="dxa"/>
            <w:shd w:val="clear" w:color="auto" w:fill="auto"/>
            <w:noWrap/>
            <w:hideMark/>
          </w:tcPr>
          <w:p w:rsidR="00144816" w:rsidRPr="00144816" w:rsidRDefault="00144816" w:rsidP="005D28A2">
            <w:pPr>
              <w:pStyle w:val="TableText"/>
            </w:pPr>
            <w:r w:rsidRPr="00144816">
              <w:t>Unclear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adults w/ &gt;=1 clinically typical and histologically confirmed primary nBCC Ø &lt;=1.5 cm</w:t>
            </w:r>
          </w:p>
        </w:tc>
        <w:tc>
          <w:tcPr>
            <w:tcW w:w="2589" w:type="dxa"/>
            <w:shd w:val="clear" w:color="auto" w:fill="auto"/>
            <w:noWrap/>
            <w:hideMark/>
          </w:tcPr>
          <w:p w:rsidR="00144816" w:rsidRPr="00144816" w:rsidRDefault="00144816" w:rsidP="005D28A2">
            <w:pPr>
              <w:pStyle w:val="TableText"/>
            </w:pPr>
            <w:r w:rsidRPr="00144816">
              <w:t>micronodular, infiltrative, superficial, or morpheic BCC, BCCs w/ multicentric growth pattern, w/in 0.5 cm of the eyes</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Visual assessment: the lesion was documented by photography and the silhouette was traced on a plastic film.</w:t>
            </w:r>
          </w:p>
        </w:tc>
        <w:tc>
          <w:tcPr>
            <w:tcW w:w="1510" w:type="dxa"/>
            <w:shd w:val="clear" w:color="auto" w:fill="auto"/>
            <w:noWrap/>
            <w:hideMark/>
          </w:tcPr>
          <w:p w:rsidR="00144816" w:rsidRPr="00144816" w:rsidRDefault="00144816" w:rsidP="005D28A2">
            <w:pPr>
              <w:pStyle w:val="TableText"/>
            </w:pPr>
            <w:r w:rsidRPr="00144816">
              <w:t>102/102/90</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Eimpunth 2014 (Conference abstract) (unclear)</w:t>
            </w:r>
          </w:p>
        </w:tc>
        <w:tc>
          <w:tcPr>
            <w:tcW w:w="1170" w:type="dxa"/>
            <w:shd w:val="clear" w:color="auto" w:fill="auto"/>
            <w:noWrap/>
            <w:hideMark/>
          </w:tcPr>
          <w:p w:rsidR="00144816" w:rsidRPr="00144816" w:rsidRDefault="00144816" w:rsidP="005D28A2">
            <w:pPr>
              <w:pStyle w:val="TableText"/>
            </w:pPr>
            <w:r w:rsidRPr="00144816">
              <w:t>Unclear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biopsy proven, superficial or nodular BCCs located on trunk or extremities</w:t>
            </w:r>
          </w:p>
        </w:tc>
        <w:tc>
          <w:tcPr>
            <w:tcW w:w="2589" w:type="dxa"/>
            <w:shd w:val="clear" w:color="auto" w:fill="auto"/>
            <w:noWrap/>
            <w:hideMark/>
          </w:tcPr>
          <w:p w:rsidR="00144816" w:rsidRPr="00144816" w:rsidRDefault="00144816" w:rsidP="005D28A2">
            <w:pPr>
              <w:pStyle w:val="TableText"/>
            </w:pP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24/24/24</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Foley 2009 20064185 (U.S. and australia)</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18 y/o, primary nodular BCC verified by local histologic exam of 2-3 mm punch biopsy and suitable for a simple excision surgery.</w:t>
            </w:r>
          </w:p>
        </w:tc>
        <w:tc>
          <w:tcPr>
            <w:tcW w:w="2589" w:type="dxa"/>
            <w:shd w:val="clear" w:color="auto" w:fill="auto"/>
            <w:noWrap/>
            <w:hideMark/>
          </w:tcPr>
          <w:p w:rsidR="00144816" w:rsidRPr="00144816" w:rsidRDefault="00144816" w:rsidP="005D28A2">
            <w:pPr>
              <w:pStyle w:val="TableText"/>
            </w:pPr>
            <w:r w:rsidRPr="00144816">
              <w:t xml:space="preserve">periorbital area, ears, nasaolabial fold; Ø &lt; 6mm (any site) or &gt;15 mm (face or scalp), &gt; 20 mm (extremities or neck), or &gt; 30 mm (trunk); pigmented, morpheaform or infiltrating pattern. porphyria, Gorlin's syndrome, xeroderma pigmentosum, history of arsenic exposure or allergy to MAL, ALA, or excipients, participated in any other investigational study in the previous 30 days or were likely to be poorly compliant, pregnant or breast-feeding. </w:t>
            </w:r>
            <w:r w:rsidRPr="00144816">
              <w:lastRenderedPageBreak/>
              <w:t>concomitant treatment with any immunosuppressive medication was prohibited.</w:t>
            </w:r>
          </w:p>
        </w:tc>
        <w:tc>
          <w:tcPr>
            <w:tcW w:w="1751" w:type="dxa"/>
            <w:shd w:val="clear" w:color="auto" w:fill="auto"/>
            <w:noWrap/>
            <w:hideMark/>
          </w:tcPr>
          <w:p w:rsidR="00144816" w:rsidRPr="00144816" w:rsidRDefault="00144816" w:rsidP="005D28A2">
            <w:pPr>
              <w:pStyle w:val="TableText"/>
            </w:pPr>
            <w:r w:rsidRPr="00144816">
              <w:lastRenderedPageBreak/>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 xml:space="preserve">131 (160 lesions)/131 (160 lesions)/128 </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Garcia-Martin 2011 21242584 (Spain)</w:t>
            </w:r>
          </w:p>
        </w:tc>
        <w:tc>
          <w:tcPr>
            <w:tcW w:w="1170" w:type="dxa"/>
            <w:shd w:val="clear" w:color="auto" w:fill="auto"/>
            <w:noWrap/>
            <w:hideMark/>
          </w:tcPr>
          <w:p w:rsidR="00144816" w:rsidRPr="00144816" w:rsidRDefault="00144816" w:rsidP="005D28A2">
            <w:pPr>
              <w:pStyle w:val="TableText"/>
            </w:pPr>
            <w:r w:rsidRPr="00144816">
              <w:t>Unclear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nodular BCC on the eyelid</w:t>
            </w:r>
          </w:p>
        </w:tc>
        <w:tc>
          <w:tcPr>
            <w:tcW w:w="2589" w:type="dxa"/>
            <w:shd w:val="clear" w:color="auto" w:fill="auto"/>
            <w:noWrap/>
            <w:hideMark/>
          </w:tcPr>
          <w:p w:rsidR="00144816" w:rsidRPr="00144816" w:rsidRDefault="00144816" w:rsidP="005D28A2">
            <w:pPr>
              <w:pStyle w:val="TableText"/>
            </w:pPr>
            <w:r w:rsidRPr="00144816">
              <w:t>previous tx, other dermatological diseases such as Gorlin syndrome or psoriasis, immunocompromised status, aggressive varieties of BCC such as morpheaform (sclerosing or infiltrative) BCC</w:t>
            </w:r>
          </w:p>
        </w:tc>
        <w:tc>
          <w:tcPr>
            <w:tcW w:w="1751" w:type="dxa"/>
            <w:shd w:val="clear" w:color="auto" w:fill="auto"/>
            <w:noWrap/>
            <w:hideMark/>
          </w:tcPr>
          <w:p w:rsidR="00144816" w:rsidRPr="00144816" w:rsidRDefault="00144816" w:rsidP="005D28A2">
            <w:pPr>
              <w:pStyle w:val="TableText"/>
            </w:pPr>
            <w:r w:rsidRPr="00144816">
              <w:t>Biopsy/pathologic confirmed: punch of  diameter 4 mm</w:t>
            </w:r>
          </w:p>
        </w:tc>
        <w:tc>
          <w:tcPr>
            <w:tcW w:w="1620" w:type="dxa"/>
            <w:shd w:val="clear" w:color="auto" w:fill="auto"/>
            <w:noWrap/>
            <w:hideMark/>
          </w:tcPr>
          <w:p w:rsidR="00144816" w:rsidRPr="00144816" w:rsidRDefault="00144816" w:rsidP="005D28A2">
            <w:pPr>
              <w:pStyle w:val="TableText"/>
            </w:pPr>
            <w:r w:rsidRPr="00144816">
              <w:t>Visual assessment</w:t>
            </w:r>
          </w:p>
        </w:tc>
        <w:tc>
          <w:tcPr>
            <w:tcW w:w="1510" w:type="dxa"/>
            <w:shd w:val="clear" w:color="auto" w:fill="auto"/>
            <w:noWrap/>
            <w:hideMark/>
          </w:tcPr>
          <w:p w:rsidR="00144816" w:rsidRPr="00144816" w:rsidRDefault="00144816" w:rsidP="005D28A2">
            <w:pPr>
              <w:pStyle w:val="TableText"/>
            </w:pPr>
            <w:r w:rsidRPr="00144816">
              <w:t>27/27/27</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Geisse 2002 12196749 (U.S.)</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&gt;=18 y/o, histologically confirmed superficial BCC 0.5-2.0 cm^2</w:t>
            </w:r>
          </w:p>
        </w:tc>
        <w:tc>
          <w:tcPr>
            <w:tcW w:w="2589" w:type="dxa"/>
            <w:shd w:val="clear" w:color="auto" w:fill="auto"/>
            <w:noWrap/>
            <w:hideMark/>
          </w:tcPr>
          <w:p w:rsidR="00144816" w:rsidRPr="00144816" w:rsidRDefault="00144816" w:rsidP="005D28A2">
            <w:pPr>
              <w:pStyle w:val="TableText"/>
            </w:pPr>
            <w:r w:rsidRPr="00144816">
              <w:t>w/in 1 cm of the hairline, eyes, nose, mouth, or ears; the anogenital area; hands and feet, previously treated, recurrent, or w/in 5 cm of another BCC tumor</w:t>
            </w:r>
          </w:p>
        </w:tc>
        <w:tc>
          <w:tcPr>
            <w:tcW w:w="1751" w:type="dxa"/>
            <w:shd w:val="clear" w:color="auto" w:fill="auto"/>
            <w:noWrap/>
            <w:hideMark/>
          </w:tcPr>
          <w:p w:rsidR="00144816" w:rsidRPr="00144816" w:rsidRDefault="00144816" w:rsidP="005D28A2">
            <w:pPr>
              <w:pStyle w:val="TableText"/>
            </w:pPr>
            <w:r w:rsidRPr="00144816">
              <w:t>Biopsy/pathologic confirmed: A biopsy specimen of no more than 25% of the tumor area was taken for histologic confirmation of sBCC.</w:t>
            </w:r>
          </w:p>
        </w:tc>
        <w:tc>
          <w:tcPr>
            <w:tcW w:w="1620" w:type="dxa"/>
            <w:shd w:val="clear" w:color="auto" w:fill="auto"/>
            <w:noWrap/>
            <w:hideMark/>
          </w:tcPr>
          <w:p w:rsidR="00144816" w:rsidRPr="00144816" w:rsidRDefault="00144816" w:rsidP="005D28A2">
            <w:pPr>
              <w:pStyle w:val="TableText"/>
            </w:pPr>
            <w:r w:rsidRPr="00144816">
              <w:t>Visual assessment</w:t>
            </w:r>
          </w:p>
        </w:tc>
        <w:tc>
          <w:tcPr>
            <w:tcW w:w="1510" w:type="dxa"/>
            <w:shd w:val="clear" w:color="auto" w:fill="auto"/>
            <w:noWrap/>
            <w:hideMark/>
          </w:tcPr>
          <w:p w:rsidR="00144816" w:rsidRPr="00144816" w:rsidRDefault="00144816" w:rsidP="005D28A2">
            <w:pPr>
              <w:pStyle w:val="TableText"/>
            </w:pPr>
            <w:r w:rsidRPr="00144816">
              <w:t>128/128/125</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Geisse 2004 15097956 (U.S.)</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&gt;=18 y/o, primary, histologically-confirmed superficial BCC &gt;= 0.5 cm2, Ø &lt;= 2.0 cm on the limbs, trunk (excluding the anogenital area), neck, or head (excluding the H-zone)</w:t>
            </w:r>
          </w:p>
        </w:tc>
        <w:tc>
          <w:tcPr>
            <w:tcW w:w="2589" w:type="dxa"/>
            <w:shd w:val="clear" w:color="auto" w:fill="auto"/>
            <w:noWrap/>
            <w:hideMark/>
          </w:tcPr>
          <w:p w:rsidR="00144816" w:rsidRPr="00144816" w:rsidRDefault="00144816" w:rsidP="005D28A2">
            <w:pPr>
              <w:pStyle w:val="TableText"/>
            </w:pPr>
            <w:r w:rsidRPr="00144816">
              <w:t>any dermatological disease in the target sBCC site or surrounding area that could be exacerbated by imiquimod or cause difficulty with examination (such as subjects with nevoid basal cell carcinoma syndrome)</w:t>
            </w:r>
          </w:p>
        </w:tc>
        <w:tc>
          <w:tcPr>
            <w:tcW w:w="1751" w:type="dxa"/>
            <w:shd w:val="clear" w:color="auto" w:fill="auto"/>
            <w:noWrap/>
            <w:hideMark/>
          </w:tcPr>
          <w:p w:rsidR="00144816" w:rsidRPr="00144816" w:rsidRDefault="00144816" w:rsidP="005D28A2">
            <w:pPr>
              <w:pStyle w:val="TableText"/>
            </w:pPr>
            <w:r w:rsidRPr="00144816">
              <w:t>Biopsy/pathologic confirmed: confirmatory punch or shave biopsy &lt; 25% of the tumor area</w:t>
            </w:r>
          </w:p>
        </w:tc>
        <w:tc>
          <w:tcPr>
            <w:tcW w:w="1620" w:type="dxa"/>
            <w:shd w:val="clear" w:color="auto" w:fill="auto"/>
            <w:noWrap/>
            <w:hideMark/>
          </w:tcPr>
          <w:p w:rsidR="00144816" w:rsidRPr="00144816" w:rsidRDefault="00144816" w:rsidP="005D28A2">
            <w:pPr>
              <w:pStyle w:val="TableText"/>
            </w:pPr>
            <w:r w:rsidRPr="00144816">
              <w:t>Visual assessment: clinically evident tumor margins and local landmarks</w:t>
            </w:r>
          </w:p>
        </w:tc>
        <w:tc>
          <w:tcPr>
            <w:tcW w:w="1510" w:type="dxa"/>
            <w:shd w:val="clear" w:color="auto" w:fill="auto"/>
            <w:noWrap/>
            <w:hideMark/>
          </w:tcPr>
          <w:p w:rsidR="00144816" w:rsidRPr="00144816" w:rsidRDefault="00144816" w:rsidP="005D28A2">
            <w:pPr>
              <w:pStyle w:val="TableText"/>
            </w:pPr>
            <w:r w:rsidRPr="00144816">
              <w:t>724/724/694</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Haak 2015 24903544 (Denmark)</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 xml:space="preserve">&gt;=18 y/o, previously untreated facial tumours. histologically verified nBCC either: Ø &gt; 15 mm, located in the H-zone,  located on severely sun-damaged skin with </w:t>
            </w:r>
            <w:r w:rsidRPr="00144816">
              <w:lastRenderedPageBreak/>
              <w:t>one or more co-existing actinic lesions requiring treatment</w:t>
            </w:r>
          </w:p>
        </w:tc>
        <w:tc>
          <w:tcPr>
            <w:tcW w:w="2589" w:type="dxa"/>
            <w:shd w:val="clear" w:color="auto" w:fill="auto"/>
            <w:noWrap/>
            <w:hideMark/>
          </w:tcPr>
          <w:p w:rsidR="00144816" w:rsidRPr="00144816" w:rsidRDefault="00144816" w:rsidP="005D28A2">
            <w:pPr>
              <w:pStyle w:val="TableText"/>
            </w:pPr>
            <w:r w:rsidRPr="00144816">
              <w:lastRenderedPageBreak/>
              <w:t>lactating or pregnant women, porphyria, known allergy to MAL, Gorlin syndrome, immunosuppressive treatment, Fitzpatrick skin type IV–VI, history of keloid formation and conditions associated with risk of poor compliance</w:t>
            </w:r>
          </w:p>
        </w:tc>
        <w:tc>
          <w:tcPr>
            <w:tcW w:w="1751" w:type="dxa"/>
            <w:shd w:val="clear" w:color="auto" w:fill="auto"/>
            <w:noWrap/>
            <w:hideMark/>
          </w:tcPr>
          <w:p w:rsidR="00144816" w:rsidRPr="00144816" w:rsidRDefault="00144816" w:rsidP="005D28A2">
            <w:pPr>
              <w:pStyle w:val="TableText"/>
            </w:pPr>
            <w:r w:rsidRPr="00144816">
              <w:t>Biopsy/pathologic confirmed: histologically verified</w:t>
            </w:r>
          </w:p>
        </w:tc>
        <w:tc>
          <w:tcPr>
            <w:tcW w:w="1620" w:type="dxa"/>
            <w:shd w:val="clear" w:color="auto" w:fill="auto"/>
            <w:noWrap/>
            <w:hideMark/>
          </w:tcPr>
          <w:p w:rsidR="00144816" w:rsidRPr="00144816" w:rsidRDefault="00144816" w:rsidP="005D28A2">
            <w:pPr>
              <w:pStyle w:val="TableText"/>
            </w:pPr>
            <w:r w:rsidRPr="00144816">
              <w:t>Visual assessment: photographed and mapped on a template</w:t>
            </w:r>
          </w:p>
        </w:tc>
        <w:tc>
          <w:tcPr>
            <w:tcW w:w="1510" w:type="dxa"/>
            <w:shd w:val="clear" w:color="auto" w:fill="auto"/>
            <w:noWrap/>
            <w:hideMark/>
          </w:tcPr>
          <w:p w:rsidR="00144816" w:rsidRPr="00144816" w:rsidRDefault="00144816" w:rsidP="005D28A2">
            <w:pPr>
              <w:pStyle w:val="TableText"/>
            </w:pPr>
            <w:r w:rsidRPr="00144816">
              <w:t>32/32/32</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Hall 1986 3514075 (UK)</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BCC proven by biopsy, considered suitable for tx w/ rt</w:t>
            </w:r>
          </w:p>
        </w:tc>
        <w:tc>
          <w:tcPr>
            <w:tcW w:w="2589" w:type="dxa"/>
            <w:shd w:val="clear" w:color="auto" w:fill="auto"/>
            <w:noWrap/>
            <w:hideMark/>
          </w:tcPr>
          <w:p w:rsidR="00144816" w:rsidRPr="00144816" w:rsidRDefault="00144816" w:rsidP="005D28A2">
            <w:pPr>
              <w:pStyle w:val="TableText"/>
            </w:pPr>
            <w:r w:rsidRPr="00144816">
              <w:t>Recurrent tumors, location on nose or pinna, electrons considered Tx of choice, lesion near eye and vision in contralateral eye &lt;6/18</w:t>
            </w:r>
          </w:p>
        </w:tc>
        <w:tc>
          <w:tcPr>
            <w:tcW w:w="1751" w:type="dxa"/>
            <w:shd w:val="clear" w:color="auto" w:fill="auto"/>
            <w:noWrap/>
            <w:hideMark/>
          </w:tcPr>
          <w:p w:rsidR="00144816" w:rsidRPr="00144816" w:rsidRDefault="00144816" w:rsidP="005D28A2">
            <w:pPr>
              <w:pStyle w:val="TableText"/>
            </w:pPr>
            <w:r w:rsidRPr="00144816">
              <w:t>Biopsy/pathologic confirmed: "Proven by biopsy"</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105/105/93</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Ko 2014 24102369 (Korea)</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Korean, ≥ 18 y/o, biopsy-confirmed Bowen's Disease lesions on lower extremities, &gt;=2 comparable symmetrical lesions of similar severity and &lt;=twofold difference in number of lesions between the right and left sides.</w:t>
            </w:r>
          </w:p>
        </w:tc>
        <w:tc>
          <w:tcPr>
            <w:tcW w:w="2589" w:type="dxa"/>
            <w:shd w:val="clear" w:color="auto" w:fill="auto"/>
            <w:noWrap/>
            <w:hideMark/>
          </w:tcPr>
          <w:p w:rsidR="00144816" w:rsidRPr="00144816" w:rsidRDefault="00144816" w:rsidP="005D28A2">
            <w:pPr>
              <w:pStyle w:val="TableText"/>
            </w:pPr>
            <w:r w:rsidRPr="00144816">
              <w:t>porphyria, known allergies to the MAL cream or lidocaine, pregnancy, lactation, any active systemic infectious disease, immunosuppressive treatment, personal history of malignant melanoma, tendency towards melasma or keloid formation, prior treatment of the lesions w/in 4 wks, and any indication of poor compliance.</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Visual assessment: photographed, mapped and numbered</w:t>
            </w:r>
          </w:p>
        </w:tc>
        <w:tc>
          <w:tcPr>
            <w:tcW w:w="1510" w:type="dxa"/>
            <w:shd w:val="clear" w:color="auto" w:fill="auto"/>
            <w:noWrap/>
            <w:hideMark/>
          </w:tcPr>
          <w:p w:rsidR="00144816" w:rsidRPr="00144816" w:rsidRDefault="00144816" w:rsidP="005D28A2">
            <w:pPr>
              <w:pStyle w:val="TableText"/>
            </w:pPr>
            <w:r w:rsidRPr="00144816">
              <w:t>21/19/18</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Kuijpers 2006 16865869 (Netherlands)</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nodular, primary BCC located anywhere but periocular area and hairy scalp; clinical Ø &lt;20 mm.</w:t>
            </w:r>
          </w:p>
        </w:tc>
        <w:tc>
          <w:tcPr>
            <w:tcW w:w="2589" w:type="dxa"/>
            <w:shd w:val="clear" w:color="auto" w:fill="auto"/>
            <w:noWrap/>
            <w:hideMark/>
          </w:tcPr>
          <w:p w:rsidR="00144816" w:rsidRPr="00144816" w:rsidRDefault="00144816" w:rsidP="005D28A2">
            <w:pPr>
              <w:pStyle w:val="TableText"/>
            </w:pPr>
            <w:r w:rsidRPr="00144816">
              <w:t>pigmented BCC; contra-indications to surgery; hypersensitivity to daylight or creams; porphyria; &gt;5 BCCs.</w:t>
            </w:r>
          </w:p>
        </w:tc>
        <w:tc>
          <w:tcPr>
            <w:tcW w:w="1751" w:type="dxa"/>
            <w:shd w:val="clear" w:color="auto" w:fill="auto"/>
            <w:noWrap/>
            <w:hideMark/>
          </w:tcPr>
          <w:p w:rsidR="00144816" w:rsidRPr="00144816" w:rsidRDefault="00144816" w:rsidP="005D28A2">
            <w:pPr>
              <w:pStyle w:val="TableText"/>
            </w:pPr>
            <w:r w:rsidRPr="00144816">
              <w:t>Method of diagnosis not reported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43/43/43</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Kuijpers 2007 17451581 (Netherlands)</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&gt;=18 y/o, untreated, primary histologically proven BCC, nodular or superficial, on the head and neck, &lt;20mm Ø</w:t>
            </w:r>
          </w:p>
        </w:tc>
        <w:tc>
          <w:tcPr>
            <w:tcW w:w="2589" w:type="dxa"/>
            <w:shd w:val="clear" w:color="auto" w:fill="auto"/>
            <w:noWrap/>
            <w:hideMark/>
          </w:tcPr>
          <w:p w:rsidR="00144816" w:rsidRPr="00144816" w:rsidRDefault="00144816" w:rsidP="005D28A2">
            <w:pPr>
              <w:pStyle w:val="TableText"/>
            </w:pPr>
            <w:r w:rsidRPr="00144816">
              <w:t>Recurrent, not superficial or nodular, &gt;20 mm Ø, contraindications to either procedure, presence of 5+ BCCs</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88/88/88</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Marks 2001 11312429 (Australia and New Zealand)</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 xml:space="preserve">&gt;=18 y/o, biopsy-proven superficial BCC on head, neck, trunk or limbs, SA 0.5-2 cm^2, primary tumor, biopsy &lt;25% </w:t>
            </w:r>
            <w:r w:rsidRPr="00144816">
              <w:lastRenderedPageBreak/>
              <w:t>of the lesion</w:t>
            </w:r>
          </w:p>
        </w:tc>
        <w:tc>
          <w:tcPr>
            <w:tcW w:w="2589" w:type="dxa"/>
            <w:shd w:val="clear" w:color="auto" w:fill="auto"/>
            <w:noWrap/>
            <w:hideMark/>
          </w:tcPr>
          <w:p w:rsidR="00144816" w:rsidRPr="00144816" w:rsidRDefault="00144816" w:rsidP="005D28A2">
            <w:pPr>
              <w:pStyle w:val="TableText"/>
            </w:pPr>
            <w:r w:rsidRPr="00144816">
              <w:lastRenderedPageBreak/>
              <w:t>Infection, recurrent, w/in 1 cm of the hairline, eyes, nose, mouth, ears, anogenital region, hands, and feet</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99/99/99</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Migden 2015 25981810 (worldwide)</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&gt;= 18 y/o; histologically confirmed, locally advanced BCC not amenable to rt or curativ</w:t>
            </w:r>
            <w:r w:rsidR="005B3396">
              <w:t>e surgery; adequate bone marrow</w:t>
            </w:r>
            <w:r w:rsidR="00D9383E">
              <w:t>, liver function</w:t>
            </w:r>
            <w:r w:rsidRPr="00144816">
              <w:t xml:space="preserve">, and renal function </w:t>
            </w:r>
          </w:p>
        </w:tc>
        <w:tc>
          <w:tcPr>
            <w:tcW w:w="2589" w:type="dxa"/>
            <w:shd w:val="clear" w:color="auto" w:fill="auto"/>
            <w:noWrap/>
            <w:hideMark/>
          </w:tcPr>
          <w:p w:rsidR="00144816" w:rsidRPr="00144816" w:rsidRDefault="00144816" w:rsidP="005D28A2">
            <w:pPr>
              <w:pStyle w:val="TableText"/>
            </w:pPr>
            <w:r w:rsidRPr="00144816">
              <w:t>previous tx with sonidegib or another Hedgehog pathway inhibitor, major surgery, other antineoplastic therapy, taken an investigational agent w/in 4 wks before the start of the study, currently taking strong inhibitors or inducers of CYP3A4 or CYP3A5 expression or drugs metabolised by CYP2B6 or CYP2C9; gastrointestinal dysfunction or known malabsorption syndromes, neuromuscular disorders, or other uncontrolled medical disorders; treatment with drugs known to cause rhabdomyolysis (pravastatin allowed w/ extra caution); pregnancy or breastfeeding</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Visual assessment: standard annotated photography</w:t>
            </w:r>
          </w:p>
        </w:tc>
        <w:tc>
          <w:tcPr>
            <w:tcW w:w="1510" w:type="dxa"/>
            <w:shd w:val="clear" w:color="auto" w:fill="auto"/>
            <w:noWrap/>
            <w:hideMark/>
          </w:tcPr>
          <w:p w:rsidR="00144816" w:rsidRPr="00144816" w:rsidRDefault="00144816" w:rsidP="005D28A2">
            <w:pPr>
              <w:pStyle w:val="TableText"/>
            </w:pPr>
            <w:r w:rsidRPr="00144816">
              <w:t>269/230/230</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Miller 1997 8996264 (USA)</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6-15 mm Ø, well-defined margins, &lt;=50 mm from any other malignancy that would otherwise be treated with surgery or curettage/electrodesiccation</w:t>
            </w:r>
          </w:p>
        </w:tc>
        <w:tc>
          <w:tcPr>
            <w:tcW w:w="2589" w:type="dxa"/>
            <w:shd w:val="clear" w:color="auto" w:fill="auto"/>
            <w:noWrap/>
            <w:hideMark/>
          </w:tcPr>
          <w:p w:rsidR="00144816" w:rsidRPr="00144816" w:rsidRDefault="00144816" w:rsidP="005D28A2">
            <w:pPr>
              <w:pStyle w:val="TableText"/>
            </w:pPr>
            <w:r w:rsidRPr="00144816">
              <w:t>lesions already received tx, high-risk sites, tumors considered to be more appropriately treated w/ Mohs, deep tissue involved lesions, morpheaform lesions, lesions associated with basal cell nevus syndrome, known hypersensitivities or allergies to 5-FU, sulfites, epinephrine, or bovine collagen; history of autoimmune disease or immunosuppression; women who were pregnant or lactating</w:t>
            </w:r>
          </w:p>
        </w:tc>
        <w:tc>
          <w:tcPr>
            <w:tcW w:w="1751" w:type="dxa"/>
            <w:shd w:val="clear" w:color="auto" w:fill="auto"/>
            <w:noWrap/>
            <w:hideMark/>
          </w:tcPr>
          <w:p w:rsidR="00144816" w:rsidRPr="00144816" w:rsidRDefault="00144816" w:rsidP="005D28A2">
            <w:pPr>
              <w:pStyle w:val="TableText"/>
            </w:pPr>
            <w:r w:rsidRPr="00144816">
              <w:t>Biopsy/pathologic confirmed: punch or shave biopsy of no more than 25% of total legion</w:t>
            </w:r>
          </w:p>
        </w:tc>
        <w:tc>
          <w:tcPr>
            <w:tcW w:w="1620" w:type="dxa"/>
            <w:shd w:val="clear" w:color="auto" w:fill="auto"/>
            <w:noWrap/>
            <w:hideMark/>
          </w:tcPr>
          <w:p w:rsidR="00144816" w:rsidRPr="00144816" w:rsidRDefault="00144816" w:rsidP="005D28A2">
            <w:pPr>
              <w:pStyle w:val="TableText"/>
            </w:pPr>
            <w:r w:rsidRPr="00144816">
              <w:t>Visual assessment: 6-15mm in largest diameter, well-defined margins</w:t>
            </w:r>
          </w:p>
        </w:tc>
        <w:tc>
          <w:tcPr>
            <w:tcW w:w="1510" w:type="dxa"/>
            <w:shd w:val="clear" w:color="auto" w:fill="auto"/>
            <w:noWrap/>
            <w:hideMark/>
          </w:tcPr>
          <w:p w:rsidR="00144816" w:rsidRPr="00144816" w:rsidRDefault="00144816" w:rsidP="005D28A2">
            <w:pPr>
              <w:pStyle w:val="TableText"/>
            </w:pPr>
            <w:r w:rsidRPr="00144816">
              <w:t>122/122/116</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Morton 1996 8977678 (Scotland)</w:t>
            </w:r>
          </w:p>
        </w:tc>
        <w:tc>
          <w:tcPr>
            <w:tcW w:w="1170" w:type="dxa"/>
            <w:shd w:val="clear" w:color="auto" w:fill="auto"/>
            <w:noWrap/>
            <w:hideMark/>
          </w:tcPr>
          <w:p w:rsidR="00144816" w:rsidRPr="00144816" w:rsidRDefault="00144816" w:rsidP="005D28A2">
            <w:pPr>
              <w:pStyle w:val="TableText"/>
            </w:pPr>
            <w:r w:rsidRPr="00144816">
              <w:t>Unclear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&lt;=21 mm Ø</w:t>
            </w:r>
          </w:p>
        </w:tc>
        <w:tc>
          <w:tcPr>
            <w:tcW w:w="2589" w:type="dxa"/>
            <w:shd w:val="clear" w:color="auto" w:fill="auto"/>
            <w:noWrap/>
            <w:hideMark/>
          </w:tcPr>
          <w:p w:rsidR="00144816" w:rsidRPr="00144816" w:rsidRDefault="00144816" w:rsidP="005D28A2">
            <w:pPr>
              <w:pStyle w:val="TableText"/>
            </w:pPr>
          </w:p>
        </w:tc>
        <w:tc>
          <w:tcPr>
            <w:tcW w:w="1751" w:type="dxa"/>
            <w:shd w:val="clear" w:color="auto" w:fill="auto"/>
            <w:noWrap/>
            <w:hideMark/>
          </w:tcPr>
          <w:p w:rsidR="00144816" w:rsidRPr="00144816" w:rsidRDefault="00144816" w:rsidP="005D28A2">
            <w:pPr>
              <w:pStyle w:val="TableText"/>
            </w:pPr>
            <w:r w:rsidRPr="00144816">
              <w:t>Biopsy/pathologic confirmed: 4-mm punch biopsy</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19/19/19</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Morton 2006 16785375 (Europe)</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&gt;= 18 y/o, histologically confirmed SCC in situ</w:t>
            </w:r>
          </w:p>
        </w:tc>
        <w:tc>
          <w:tcPr>
            <w:tcW w:w="2589" w:type="dxa"/>
            <w:shd w:val="clear" w:color="auto" w:fill="auto"/>
            <w:noWrap/>
            <w:hideMark/>
          </w:tcPr>
          <w:p w:rsidR="00144816" w:rsidRPr="00144816" w:rsidRDefault="00144816" w:rsidP="005D28A2">
            <w:pPr>
              <w:pStyle w:val="TableText"/>
            </w:pPr>
            <w:r w:rsidRPr="00144816">
              <w:t>treated w/in the previous 3 mo or strongly pigmented, &lt;6mm or &gt;40 mm Ø, located on the genitalia</w:t>
            </w:r>
          </w:p>
        </w:tc>
        <w:tc>
          <w:tcPr>
            <w:tcW w:w="1751" w:type="dxa"/>
            <w:shd w:val="clear" w:color="auto" w:fill="auto"/>
            <w:noWrap/>
            <w:hideMark/>
          </w:tcPr>
          <w:p w:rsidR="00144816" w:rsidRPr="00144816" w:rsidRDefault="00144816" w:rsidP="005D28A2">
            <w:pPr>
              <w:pStyle w:val="TableText"/>
            </w:pPr>
            <w:r w:rsidRPr="00144816">
              <w:t>Biopsy/pathologic confirmed: biopsy specimen taken within 5 months, and with no evidence of any change in appearance suggestive of lesion progression</w:t>
            </w:r>
          </w:p>
        </w:tc>
        <w:tc>
          <w:tcPr>
            <w:tcW w:w="1620" w:type="dxa"/>
            <w:shd w:val="clear" w:color="auto" w:fill="auto"/>
            <w:noWrap/>
            <w:hideMark/>
          </w:tcPr>
          <w:p w:rsidR="00144816" w:rsidRPr="00144816" w:rsidRDefault="00144816" w:rsidP="005D28A2">
            <w:pPr>
              <w:pStyle w:val="TableText"/>
            </w:pPr>
            <w:r w:rsidRPr="00144816">
              <w:t>Visual assessment</w:t>
            </w:r>
          </w:p>
        </w:tc>
        <w:tc>
          <w:tcPr>
            <w:tcW w:w="1510" w:type="dxa"/>
            <w:shd w:val="clear" w:color="auto" w:fill="auto"/>
            <w:noWrap/>
            <w:hideMark/>
          </w:tcPr>
          <w:p w:rsidR="00144816" w:rsidRPr="00144816" w:rsidRDefault="00144816" w:rsidP="005D28A2">
            <w:pPr>
              <w:pStyle w:val="TableText"/>
            </w:pPr>
            <w:r w:rsidRPr="00144816">
              <w:t>229/229/209</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Mosterd 2008 18717680 (Netherlands)</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&gt;18 y/o, untreated nBCC w/ Ø &lt;=20 mm</w:t>
            </w:r>
          </w:p>
        </w:tc>
        <w:tc>
          <w:tcPr>
            <w:tcW w:w="2589" w:type="dxa"/>
            <w:shd w:val="clear" w:color="auto" w:fill="auto"/>
            <w:noWrap/>
            <w:hideMark/>
          </w:tcPr>
          <w:p w:rsidR="00144816" w:rsidRPr="00144816" w:rsidRDefault="00144816" w:rsidP="005D28A2">
            <w:pPr>
              <w:pStyle w:val="TableText"/>
            </w:pPr>
            <w:r w:rsidRPr="00144816">
              <w:t>Pregnancy, LE &lt;5 years, known skin cancer syndromes, use of phototoxic ⁄photosensitive drugs,  hypersensitivity to light or ALA cream, recurrent or pigmented BCC, not nodular BBC, and a localization on concave areas or hairy skin</w:t>
            </w:r>
          </w:p>
        </w:tc>
        <w:tc>
          <w:tcPr>
            <w:tcW w:w="1751" w:type="dxa"/>
            <w:shd w:val="clear" w:color="auto" w:fill="auto"/>
            <w:noWrap/>
            <w:hideMark/>
          </w:tcPr>
          <w:p w:rsidR="00144816" w:rsidRPr="00144816" w:rsidRDefault="00144816" w:rsidP="005D28A2">
            <w:pPr>
              <w:pStyle w:val="TableText"/>
            </w:pPr>
            <w:r w:rsidRPr="00144816">
              <w:t>Biopsy/pathologic confirmed: 3mm punch biopsy</w:t>
            </w:r>
          </w:p>
        </w:tc>
        <w:tc>
          <w:tcPr>
            <w:tcW w:w="1620" w:type="dxa"/>
            <w:shd w:val="clear" w:color="auto" w:fill="auto"/>
            <w:noWrap/>
            <w:hideMark/>
          </w:tcPr>
          <w:p w:rsidR="00144816" w:rsidRPr="00144816" w:rsidRDefault="00144816" w:rsidP="005D28A2">
            <w:pPr>
              <w:pStyle w:val="TableText"/>
            </w:pPr>
            <w:r w:rsidRPr="00144816">
              <w:t>Visual assessment</w:t>
            </w:r>
          </w:p>
        </w:tc>
        <w:tc>
          <w:tcPr>
            <w:tcW w:w="1510" w:type="dxa"/>
            <w:shd w:val="clear" w:color="auto" w:fill="auto"/>
            <w:noWrap/>
            <w:hideMark/>
          </w:tcPr>
          <w:p w:rsidR="00144816" w:rsidRPr="00144816" w:rsidRDefault="00144816" w:rsidP="005D28A2">
            <w:pPr>
              <w:pStyle w:val="TableText"/>
            </w:pPr>
            <w:r w:rsidRPr="00144816">
              <w:t>151/149/149</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Mosterd 2008 19010733 (Netherlands)</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&gt;= 1 untreated, histologically confirmed primary BCC &gt;=1cm Ø located in the H-zone or a facial primary BCC of an aggressive histological subtype (ie, morpheaform, micronodular, trabecular, infiltrative, or BCC with squamous differentiation)</w:t>
            </w:r>
          </w:p>
        </w:tc>
        <w:tc>
          <w:tcPr>
            <w:tcW w:w="2589" w:type="dxa"/>
            <w:shd w:val="clear" w:color="auto" w:fill="auto"/>
            <w:noWrap/>
            <w:hideMark/>
          </w:tcPr>
          <w:p w:rsidR="00144816" w:rsidRPr="00144816" w:rsidRDefault="00144816" w:rsidP="005D28A2">
            <w:pPr>
              <w:pStyle w:val="TableText"/>
            </w:pPr>
            <w:r w:rsidRPr="00144816">
              <w:t>LE&lt;3 yrs</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Visual assessment: overall and close-up photographs were taken before each treatment</w:t>
            </w:r>
          </w:p>
        </w:tc>
        <w:tc>
          <w:tcPr>
            <w:tcW w:w="1510" w:type="dxa"/>
            <w:shd w:val="clear" w:color="auto" w:fill="auto"/>
            <w:noWrap/>
            <w:hideMark/>
          </w:tcPr>
          <w:p w:rsidR="00144816" w:rsidRPr="00144816" w:rsidRDefault="00144816" w:rsidP="005D28A2">
            <w:pPr>
              <w:pStyle w:val="TableText"/>
            </w:pPr>
            <w:r w:rsidRPr="00144816">
              <w:t>443/374/251</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Orenberg 1992 1430394 (USA)</w:t>
            </w:r>
          </w:p>
        </w:tc>
        <w:tc>
          <w:tcPr>
            <w:tcW w:w="1170" w:type="dxa"/>
            <w:shd w:val="clear" w:color="auto" w:fill="auto"/>
            <w:noWrap/>
            <w:hideMark/>
          </w:tcPr>
          <w:p w:rsidR="00144816" w:rsidRPr="00144816" w:rsidRDefault="00144816" w:rsidP="005D28A2">
            <w:pPr>
              <w:pStyle w:val="TableText"/>
            </w:pPr>
            <w:r w:rsidRPr="00144816">
              <w:t>Unclear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Biopsy-proven nodular BCC, 06-1.5 cm Ø</w:t>
            </w:r>
          </w:p>
        </w:tc>
        <w:tc>
          <w:tcPr>
            <w:tcW w:w="2589" w:type="dxa"/>
            <w:shd w:val="clear" w:color="auto" w:fill="auto"/>
            <w:noWrap/>
            <w:hideMark/>
          </w:tcPr>
          <w:p w:rsidR="00144816" w:rsidRPr="00144816" w:rsidRDefault="00144816" w:rsidP="005D28A2">
            <w:pPr>
              <w:pStyle w:val="TableText"/>
            </w:pPr>
            <w:r w:rsidRPr="00144816">
              <w:t xml:space="preserve">Previous local tx or systemic cancer therapy w/in 6 mo; Gorlin's syndrome, morpheaform, pigmented or deeply invasive lesions; any serious or debilitating illness, chronic respiratory disease, </w:t>
            </w:r>
            <w:r w:rsidRPr="00144816">
              <w:lastRenderedPageBreak/>
              <w:t>depressed bone marrow, autoimmunedisease, or w/ hypersensitivity to 5-FU, epinephrine, or bovine couagen; Pregnant or lactating women and subjects requiring the use of nonsteroidal antiinflammatory drugs, nonselective beta-blocking drugs, aspirin, and topical or systemic steroids</w:t>
            </w:r>
          </w:p>
        </w:tc>
        <w:tc>
          <w:tcPr>
            <w:tcW w:w="1751" w:type="dxa"/>
            <w:shd w:val="clear" w:color="auto" w:fill="auto"/>
            <w:noWrap/>
            <w:hideMark/>
          </w:tcPr>
          <w:p w:rsidR="00144816" w:rsidRPr="00144816" w:rsidRDefault="00144816" w:rsidP="005D28A2">
            <w:pPr>
              <w:pStyle w:val="TableText"/>
            </w:pPr>
            <w:r w:rsidRPr="00144816">
              <w:lastRenderedPageBreak/>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20/20/20</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Patel 2006 16713457 (United Kingdom)</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biopsy-proven cutaneous SCC in situ; full-thickness epidermal dysplasia; no active treatment 1 mo; post-biopsy legion 1-20 cm^2; &gt;=1 cm away from eye; had to be able to attend clinical trials room.</w:t>
            </w:r>
          </w:p>
        </w:tc>
        <w:tc>
          <w:tcPr>
            <w:tcW w:w="2589" w:type="dxa"/>
            <w:shd w:val="clear" w:color="auto" w:fill="auto"/>
            <w:noWrap/>
            <w:hideMark/>
          </w:tcPr>
          <w:p w:rsidR="00144816" w:rsidRPr="00144816" w:rsidRDefault="00144816" w:rsidP="005D28A2">
            <w:pPr>
              <w:pStyle w:val="TableText"/>
            </w:pPr>
          </w:p>
        </w:tc>
        <w:tc>
          <w:tcPr>
            <w:tcW w:w="1751" w:type="dxa"/>
            <w:shd w:val="clear" w:color="auto" w:fill="auto"/>
            <w:noWrap/>
            <w:hideMark/>
          </w:tcPr>
          <w:p w:rsidR="00144816" w:rsidRPr="00144816" w:rsidRDefault="00144816" w:rsidP="005D28A2">
            <w:pPr>
              <w:pStyle w:val="TableText"/>
            </w:pPr>
            <w:r w:rsidRPr="00144816">
              <w:t>Biopsy/pathologic confirmed: biopsy specimen, which by conventional histologic examination showed full-thickness epidermal dysplasia</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31/31/28</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Rhodes 2004 14732655 (Europe)</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&gt;=18 y/o w/ perviously untreated primary nodular BCC suitable for simple excision surgery</w:t>
            </w:r>
          </w:p>
        </w:tc>
        <w:tc>
          <w:tcPr>
            <w:tcW w:w="2589" w:type="dxa"/>
            <w:shd w:val="clear" w:color="auto" w:fill="auto"/>
            <w:noWrap/>
            <w:hideMark/>
          </w:tcPr>
          <w:p w:rsidR="00144816" w:rsidRPr="00144816" w:rsidRDefault="00144816" w:rsidP="005D28A2">
            <w:pPr>
              <w:pStyle w:val="TableText"/>
            </w:pPr>
            <w:r w:rsidRPr="00144816">
              <w:t>&gt; 10 eligible lesions; lesions in midface region, orbital areas, or ears; 6mm-15mm Ø (face and scalp), &gt; 20mm Ø (extremities or neck), &gt;30mm Ø (trunk); pigmented or morpheaform BCCs; polyphyria; Gorlin syndrome; history of arsenic exposure; in another study in past 30 days; likely to be poor compliers; taking immunosuppresive medication; pregnant or breasfeeding</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Visual assessment</w:t>
            </w:r>
          </w:p>
        </w:tc>
        <w:tc>
          <w:tcPr>
            <w:tcW w:w="1510" w:type="dxa"/>
            <w:shd w:val="clear" w:color="auto" w:fill="auto"/>
            <w:noWrap/>
            <w:hideMark/>
          </w:tcPr>
          <w:p w:rsidR="00144816" w:rsidRPr="00144816" w:rsidRDefault="00144816" w:rsidP="005D28A2">
            <w:pPr>
              <w:pStyle w:val="TableText"/>
            </w:pPr>
            <w:r w:rsidRPr="00144816">
              <w:t>103/103/101</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Salim 2003 12653747 (UK)</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Bowen's disease</w:t>
            </w:r>
          </w:p>
        </w:tc>
        <w:tc>
          <w:tcPr>
            <w:tcW w:w="2589" w:type="dxa"/>
            <w:shd w:val="clear" w:color="auto" w:fill="auto"/>
            <w:noWrap/>
            <w:hideMark/>
          </w:tcPr>
          <w:p w:rsidR="00144816" w:rsidRPr="00144816" w:rsidRDefault="00144816" w:rsidP="005D28A2">
            <w:pPr>
              <w:pStyle w:val="TableText"/>
            </w:pPr>
            <w:r w:rsidRPr="00144816">
              <w:t>Not reported</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49/40/40</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 xml:space="preserve">Salmanpoor 2012  </w:t>
            </w:r>
            <w:r w:rsidRPr="00144816">
              <w:lastRenderedPageBreak/>
              <w:t>(Iran)</w:t>
            </w:r>
          </w:p>
        </w:tc>
        <w:tc>
          <w:tcPr>
            <w:tcW w:w="1170" w:type="dxa"/>
            <w:shd w:val="clear" w:color="auto" w:fill="auto"/>
            <w:noWrap/>
            <w:hideMark/>
          </w:tcPr>
          <w:p w:rsidR="00144816" w:rsidRPr="00144816" w:rsidRDefault="00144816" w:rsidP="005D28A2">
            <w:pPr>
              <w:pStyle w:val="TableText"/>
            </w:pPr>
            <w:r w:rsidRPr="00144816">
              <w:lastRenderedPageBreak/>
              <w:t xml:space="preserve">Single </w:t>
            </w:r>
            <w:r w:rsidRPr="00144816">
              <w:lastRenderedPageBreak/>
              <w:t>center</w:t>
            </w:r>
          </w:p>
        </w:tc>
        <w:tc>
          <w:tcPr>
            <w:tcW w:w="1260" w:type="dxa"/>
            <w:shd w:val="clear" w:color="auto" w:fill="auto"/>
            <w:noWrap/>
            <w:hideMark/>
          </w:tcPr>
          <w:p w:rsidR="00144816" w:rsidRPr="00144816" w:rsidRDefault="00144816" w:rsidP="005D28A2">
            <w:pPr>
              <w:pStyle w:val="TableText"/>
            </w:pPr>
            <w:r w:rsidRPr="00144816">
              <w:lastRenderedPageBreak/>
              <w:t>Not reported</w:t>
            </w:r>
          </w:p>
        </w:tc>
        <w:tc>
          <w:tcPr>
            <w:tcW w:w="1890" w:type="dxa"/>
            <w:shd w:val="clear" w:color="auto" w:fill="auto"/>
            <w:noWrap/>
            <w:hideMark/>
          </w:tcPr>
          <w:p w:rsidR="00144816" w:rsidRPr="00144816" w:rsidRDefault="00144816" w:rsidP="005D28A2">
            <w:pPr>
              <w:pStyle w:val="TableText"/>
            </w:pPr>
            <w:r w:rsidRPr="00144816">
              <w:t xml:space="preserve">Pathologically </w:t>
            </w:r>
            <w:r w:rsidRPr="00144816">
              <w:lastRenderedPageBreak/>
              <w:t>confirmed BCC</w:t>
            </w:r>
          </w:p>
        </w:tc>
        <w:tc>
          <w:tcPr>
            <w:tcW w:w="2589" w:type="dxa"/>
            <w:shd w:val="clear" w:color="auto" w:fill="auto"/>
            <w:noWrap/>
            <w:hideMark/>
          </w:tcPr>
          <w:p w:rsidR="00144816" w:rsidRPr="00144816" w:rsidRDefault="00144816" w:rsidP="005D28A2">
            <w:pPr>
              <w:pStyle w:val="TableText"/>
            </w:pPr>
            <w:r w:rsidRPr="00144816">
              <w:lastRenderedPageBreak/>
              <w:t xml:space="preserve">Tumors with indications for </w:t>
            </w:r>
            <w:r w:rsidRPr="00144816">
              <w:lastRenderedPageBreak/>
              <w:t>Mohs</w:t>
            </w:r>
          </w:p>
        </w:tc>
        <w:tc>
          <w:tcPr>
            <w:tcW w:w="1751" w:type="dxa"/>
            <w:shd w:val="clear" w:color="auto" w:fill="auto"/>
            <w:noWrap/>
            <w:hideMark/>
          </w:tcPr>
          <w:p w:rsidR="00144816" w:rsidRPr="00144816" w:rsidRDefault="00144816" w:rsidP="005D28A2">
            <w:pPr>
              <w:pStyle w:val="TableText"/>
            </w:pPr>
            <w:r w:rsidRPr="00144816">
              <w:lastRenderedPageBreak/>
              <w:t xml:space="preserve">Biopsy/pathologic </w:t>
            </w:r>
            <w:r w:rsidRPr="00144816">
              <w:lastRenderedPageBreak/>
              <w:t>confirmed</w:t>
            </w:r>
          </w:p>
        </w:tc>
        <w:tc>
          <w:tcPr>
            <w:tcW w:w="1620" w:type="dxa"/>
            <w:shd w:val="clear" w:color="auto" w:fill="auto"/>
            <w:noWrap/>
            <w:hideMark/>
          </w:tcPr>
          <w:p w:rsidR="00144816" w:rsidRPr="00144816" w:rsidRDefault="00144816" w:rsidP="005D28A2">
            <w:pPr>
              <w:pStyle w:val="TableText"/>
            </w:pPr>
            <w:r w:rsidRPr="00144816">
              <w:lastRenderedPageBreak/>
              <w:t xml:space="preserve">Method of </w:t>
            </w:r>
            <w:r w:rsidRPr="00144816">
              <w:lastRenderedPageBreak/>
              <w:t>assessment not reported</w:t>
            </w:r>
          </w:p>
        </w:tc>
        <w:tc>
          <w:tcPr>
            <w:tcW w:w="1510" w:type="dxa"/>
            <w:shd w:val="clear" w:color="auto" w:fill="auto"/>
            <w:noWrap/>
            <w:hideMark/>
          </w:tcPr>
          <w:p w:rsidR="00144816" w:rsidRPr="00144816" w:rsidRDefault="00144816" w:rsidP="005D28A2">
            <w:pPr>
              <w:pStyle w:val="TableText"/>
            </w:pPr>
            <w:r w:rsidRPr="00144816">
              <w:lastRenderedPageBreak/>
              <w:t>55/55/55</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Schleier 2007 25047438 (Germany (Friedrich-Schiller University Jena))</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histologically verified superficial BCC w/ no deep infiltration (&lt;2 mm), no morpheic and pigmented BCC, and good compliance.</w:t>
            </w:r>
          </w:p>
        </w:tc>
        <w:tc>
          <w:tcPr>
            <w:tcW w:w="2589" w:type="dxa"/>
            <w:shd w:val="clear" w:color="auto" w:fill="auto"/>
            <w:noWrap/>
            <w:hideMark/>
          </w:tcPr>
          <w:p w:rsidR="00144816" w:rsidRPr="00144816" w:rsidRDefault="00144816" w:rsidP="005D28A2">
            <w:pPr>
              <w:pStyle w:val="TableText"/>
            </w:pPr>
            <w:r w:rsidRPr="00144816">
              <w:t>unclear histology, clinically nodular BCC, expected poor compliance, untreated diabetes mellitus, and pregnancy</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24/24/24</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Schulze 2005 15888150 (Europe)</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non-pregnant, &gt;= 18 y/o; histologically confirmed primary sBCC on limbs, trunk, neck, or head; area &gt;=0.5 cm^2 and Ø &lt;=2.0 cm prior to biopsy.</w:t>
            </w:r>
          </w:p>
        </w:tc>
        <w:tc>
          <w:tcPr>
            <w:tcW w:w="2589" w:type="dxa"/>
            <w:shd w:val="clear" w:color="auto" w:fill="auto"/>
            <w:noWrap/>
            <w:hideMark/>
          </w:tcPr>
          <w:p w:rsidR="00144816" w:rsidRPr="00144816" w:rsidRDefault="00144816" w:rsidP="005D28A2">
            <w:pPr>
              <w:pStyle w:val="TableText"/>
            </w:pPr>
            <w:r w:rsidRPr="00144816">
              <w:t>clinically significant, unstable medical conditions; metastatic tumor or tumor with high probability of metastatic spread; tumor on anogenital area or w/in 1 cm of the hairline, nose, mouth, ears, and eyes; histological evidence morphoeic, severe squamous metaplasia, or any infliltrative or desmoplastic features; dermatological disease w/in 5 cm of target site margins that would be exacerbated by treatment and would affect assessment.</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Visual assessment: multiplying the two largest diameters perpendicular to each other</w:t>
            </w:r>
          </w:p>
        </w:tc>
        <w:tc>
          <w:tcPr>
            <w:tcW w:w="1510" w:type="dxa"/>
            <w:shd w:val="clear" w:color="auto" w:fill="auto"/>
            <w:noWrap/>
            <w:hideMark/>
          </w:tcPr>
          <w:p w:rsidR="00144816" w:rsidRPr="00144816" w:rsidRDefault="00144816" w:rsidP="005D28A2">
            <w:pPr>
              <w:pStyle w:val="TableText"/>
            </w:pPr>
            <w:r w:rsidRPr="00144816">
              <w:t>166/166/166</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Shumack 2002 12224977 (12 weeks) (Australia and New Zealand; And United States)</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&gt;=18 y/o, primary target tumor, histologically confirmed as nodular BCC. 0.5-1.5 cm^2 area and &gt;1 cm from the eyes, nose, mouth, ear, and hairline.</w:t>
            </w:r>
          </w:p>
        </w:tc>
        <w:tc>
          <w:tcPr>
            <w:tcW w:w="2589" w:type="dxa"/>
            <w:shd w:val="clear" w:color="auto" w:fill="auto"/>
            <w:noWrap/>
            <w:hideMark/>
          </w:tcPr>
          <w:p w:rsidR="00144816" w:rsidRPr="00144816" w:rsidRDefault="00144816" w:rsidP="005D28A2">
            <w:pPr>
              <w:pStyle w:val="TableText"/>
            </w:pPr>
            <w:r w:rsidRPr="00144816">
              <w:t xml:space="preserve">BCC with morpheic infiltrating and micronodular patterns </w:t>
            </w:r>
          </w:p>
        </w:tc>
        <w:tc>
          <w:tcPr>
            <w:tcW w:w="1751" w:type="dxa"/>
            <w:shd w:val="clear" w:color="auto" w:fill="auto"/>
            <w:noWrap/>
            <w:hideMark/>
          </w:tcPr>
          <w:p w:rsidR="00144816" w:rsidRPr="00144816" w:rsidRDefault="00144816" w:rsidP="005D28A2">
            <w:pPr>
              <w:pStyle w:val="TableText"/>
            </w:pPr>
            <w:r w:rsidRPr="00144816">
              <w:t xml:space="preserve">Biopsy/pathologic confirmed: punch or shave biopsy of the target tumor. </w:t>
            </w:r>
          </w:p>
        </w:tc>
        <w:tc>
          <w:tcPr>
            <w:tcW w:w="1620" w:type="dxa"/>
            <w:shd w:val="clear" w:color="auto" w:fill="auto"/>
            <w:noWrap/>
            <w:hideMark/>
          </w:tcPr>
          <w:p w:rsidR="00144816" w:rsidRPr="00144816" w:rsidRDefault="00144816" w:rsidP="005D28A2">
            <w:pPr>
              <w:pStyle w:val="TableText"/>
            </w:pPr>
            <w:r w:rsidRPr="00144816">
              <w:t>Visual assessmen</w:t>
            </w:r>
            <w:r w:rsidR="00D9383E">
              <w:t xml:space="preserve">t: Target tumors were measured </w:t>
            </w:r>
            <w:r w:rsidRPr="00144816">
              <w:t xml:space="preserve"> and photographed prior  to the prestudy biopsy and rephotographed prior to treatment  initiation and at each interval visit.</w:t>
            </w:r>
          </w:p>
        </w:tc>
        <w:tc>
          <w:tcPr>
            <w:tcW w:w="1510" w:type="dxa"/>
            <w:shd w:val="clear" w:color="auto" w:fill="auto"/>
            <w:noWrap/>
            <w:hideMark/>
          </w:tcPr>
          <w:p w:rsidR="00144816" w:rsidRPr="00144816" w:rsidRDefault="00144816" w:rsidP="005D28A2">
            <w:pPr>
              <w:pStyle w:val="TableText"/>
            </w:pPr>
            <w:r w:rsidRPr="00144816">
              <w:t>92/92/77</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 xml:space="preserve">Shumack 2002 12224977 (6 weeks) </w:t>
            </w:r>
            <w:r w:rsidRPr="00144816">
              <w:lastRenderedPageBreak/>
              <w:t>(Australia and New Zealand; And United States)</w:t>
            </w:r>
          </w:p>
        </w:tc>
        <w:tc>
          <w:tcPr>
            <w:tcW w:w="1170" w:type="dxa"/>
            <w:shd w:val="clear" w:color="auto" w:fill="auto"/>
            <w:noWrap/>
            <w:hideMark/>
          </w:tcPr>
          <w:p w:rsidR="00144816" w:rsidRPr="00144816" w:rsidRDefault="00144816" w:rsidP="005D28A2">
            <w:pPr>
              <w:pStyle w:val="TableText"/>
            </w:pPr>
            <w:r w:rsidRPr="00144816">
              <w:lastRenderedPageBreak/>
              <w:t>Multicenter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 xml:space="preserve">&gt;=18 y/o, primary target tumor, </w:t>
            </w:r>
            <w:r w:rsidRPr="00144816">
              <w:lastRenderedPageBreak/>
              <w:t>histologically confirmed as nodular BCC. 0.5-1.5 cm^2 area and &gt;1 cm from the eyes, nose, mouth, ear, and hairline.</w:t>
            </w:r>
          </w:p>
        </w:tc>
        <w:tc>
          <w:tcPr>
            <w:tcW w:w="2589" w:type="dxa"/>
            <w:shd w:val="clear" w:color="auto" w:fill="auto"/>
            <w:noWrap/>
            <w:hideMark/>
          </w:tcPr>
          <w:p w:rsidR="00144816" w:rsidRPr="00144816" w:rsidRDefault="00144816" w:rsidP="005D28A2">
            <w:pPr>
              <w:pStyle w:val="TableText"/>
            </w:pPr>
            <w:r w:rsidRPr="00144816">
              <w:lastRenderedPageBreak/>
              <w:t xml:space="preserve">BCC with morpheic infiltrating and micronodular patterns </w:t>
            </w:r>
          </w:p>
        </w:tc>
        <w:tc>
          <w:tcPr>
            <w:tcW w:w="1751" w:type="dxa"/>
            <w:shd w:val="clear" w:color="auto" w:fill="auto"/>
            <w:noWrap/>
            <w:hideMark/>
          </w:tcPr>
          <w:p w:rsidR="00144816" w:rsidRPr="00144816" w:rsidRDefault="00144816" w:rsidP="005D28A2">
            <w:pPr>
              <w:pStyle w:val="TableText"/>
            </w:pPr>
            <w:r w:rsidRPr="00144816">
              <w:t xml:space="preserve">Biopsy/pathologic confirmed: punch </w:t>
            </w:r>
            <w:r w:rsidRPr="00144816">
              <w:lastRenderedPageBreak/>
              <w:t xml:space="preserve">or shave biopsy of the target tumor. </w:t>
            </w:r>
          </w:p>
        </w:tc>
        <w:tc>
          <w:tcPr>
            <w:tcW w:w="1620" w:type="dxa"/>
            <w:shd w:val="clear" w:color="auto" w:fill="auto"/>
            <w:noWrap/>
            <w:hideMark/>
          </w:tcPr>
          <w:p w:rsidR="00144816" w:rsidRPr="00144816" w:rsidRDefault="00144816" w:rsidP="005D28A2">
            <w:pPr>
              <w:pStyle w:val="TableText"/>
            </w:pPr>
            <w:r w:rsidRPr="00144816">
              <w:lastRenderedPageBreak/>
              <w:t xml:space="preserve">Visual assessment: </w:t>
            </w:r>
            <w:r w:rsidRPr="00144816">
              <w:lastRenderedPageBreak/>
              <w:t xml:space="preserve">Target tumors were measured </w:t>
            </w:r>
            <w:r w:rsidR="00D9383E">
              <w:t>and photographed prior</w:t>
            </w:r>
            <w:r w:rsidRPr="00144816">
              <w:t xml:space="preserve"> to the prestudy biopsy and re</w:t>
            </w:r>
            <w:r w:rsidR="00D9383E">
              <w:t>-</w:t>
            </w:r>
            <w:r w:rsidRPr="00144816">
              <w:t>photographed prior to treatment  initiation and at each interval visit.</w:t>
            </w:r>
          </w:p>
        </w:tc>
        <w:tc>
          <w:tcPr>
            <w:tcW w:w="1510" w:type="dxa"/>
            <w:shd w:val="clear" w:color="auto" w:fill="auto"/>
            <w:noWrap/>
            <w:hideMark/>
          </w:tcPr>
          <w:p w:rsidR="00144816" w:rsidRPr="00144816" w:rsidRDefault="00144816" w:rsidP="005D28A2">
            <w:pPr>
              <w:pStyle w:val="TableText"/>
            </w:pPr>
            <w:r w:rsidRPr="00144816">
              <w:lastRenderedPageBreak/>
              <w:t>92/92/77</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Siller 2010 20546215 (8 private dermatology clinics Australia)</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&gt;=18 y/o, with one sBCC lesion suitable for surgical excision on the arm, shoulder, chest, face, neck, abdomen, back, leg or scalp.  Lesions with pre- and post-biopsy Ø 4–15 mm and thickness &lt;=4 mm</w:t>
            </w:r>
          </w:p>
        </w:tc>
        <w:tc>
          <w:tcPr>
            <w:tcW w:w="2589" w:type="dxa"/>
            <w:shd w:val="clear" w:color="auto" w:fill="auto"/>
            <w:noWrap/>
            <w:hideMark/>
          </w:tcPr>
          <w:p w:rsidR="00144816" w:rsidRPr="00144816" w:rsidRDefault="00144816" w:rsidP="005D28A2">
            <w:pPr>
              <w:pStyle w:val="TableText"/>
            </w:pPr>
            <w:r w:rsidRPr="00144816">
              <w:t>women of childbearing potential; recurrent or atypical lesions, immunosuppression, and prior, concomitant or anticipated therapy with the potential to confound the study results.</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Visual assessment</w:t>
            </w:r>
          </w:p>
        </w:tc>
        <w:tc>
          <w:tcPr>
            <w:tcW w:w="1510" w:type="dxa"/>
            <w:shd w:val="clear" w:color="auto" w:fill="auto"/>
            <w:noWrap/>
            <w:hideMark/>
          </w:tcPr>
          <w:p w:rsidR="00144816" w:rsidRPr="00144816" w:rsidRDefault="00144816" w:rsidP="005D28A2">
            <w:pPr>
              <w:pStyle w:val="TableText"/>
            </w:pPr>
            <w:r w:rsidRPr="00144816">
              <w:t>60/60/60</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Spencer 2006 16393600 (United States)</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&gt;= 18 y/o; previously untreated histologically confirmed nBCC.</w:t>
            </w:r>
          </w:p>
        </w:tc>
        <w:tc>
          <w:tcPr>
            <w:tcW w:w="2589" w:type="dxa"/>
            <w:shd w:val="clear" w:color="auto" w:fill="auto"/>
            <w:noWrap/>
            <w:hideMark/>
          </w:tcPr>
          <w:p w:rsidR="00144816" w:rsidRPr="00144816" w:rsidRDefault="00144816" w:rsidP="005D28A2">
            <w:pPr>
              <w:pStyle w:val="TableText"/>
            </w:pPr>
            <w:r w:rsidRPr="00144816">
              <w:t>comorbidities that would interfere with or be exacerbated by treatment.</w:t>
            </w:r>
          </w:p>
        </w:tc>
        <w:tc>
          <w:tcPr>
            <w:tcW w:w="1751" w:type="dxa"/>
            <w:shd w:val="clear" w:color="auto" w:fill="auto"/>
            <w:noWrap/>
            <w:hideMark/>
          </w:tcPr>
          <w:p w:rsidR="00144816" w:rsidRPr="00144816" w:rsidRDefault="00144816" w:rsidP="005D28A2">
            <w:pPr>
              <w:pStyle w:val="TableText"/>
            </w:pPr>
            <w:r w:rsidRPr="00144816">
              <w:t>Biopsy/pathologic confirmed: histologically confirmed</w:t>
            </w:r>
          </w:p>
        </w:tc>
        <w:tc>
          <w:tcPr>
            <w:tcW w:w="1620" w:type="dxa"/>
            <w:shd w:val="clear" w:color="auto" w:fill="auto"/>
            <w:noWrap/>
            <w:hideMark/>
          </w:tcPr>
          <w:p w:rsidR="00144816" w:rsidRPr="00144816" w:rsidRDefault="00144816" w:rsidP="005D28A2">
            <w:pPr>
              <w:pStyle w:val="TableText"/>
            </w:pPr>
            <w:r w:rsidRPr="00144816">
              <w:t>Visual assessment</w:t>
            </w:r>
          </w:p>
        </w:tc>
        <w:tc>
          <w:tcPr>
            <w:tcW w:w="1510" w:type="dxa"/>
            <w:shd w:val="clear" w:color="auto" w:fill="auto"/>
            <w:noWrap/>
            <w:hideMark/>
          </w:tcPr>
          <w:p w:rsidR="00144816" w:rsidRPr="00144816" w:rsidRDefault="00144816" w:rsidP="005D28A2">
            <w:pPr>
              <w:pStyle w:val="TableText"/>
            </w:pPr>
            <w:r w:rsidRPr="00144816">
              <w:t>20/20/20</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Sterry 2002 12452875 (nodular)  (Europe)</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 xml:space="preserve">&gt;=18 y/o, primary tumour, histologically confirmed superficial or nodular BCC, area 0.5 cm^2-2.0 cm^2 for superficial or 0.25 cm^2-1.5 cm^2 for nodular </w:t>
            </w:r>
          </w:p>
        </w:tc>
        <w:tc>
          <w:tcPr>
            <w:tcW w:w="2589" w:type="dxa"/>
            <w:shd w:val="clear" w:color="auto" w:fill="auto"/>
            <w:noWrap/>
            <w:hideMark/>
          </w:tcPr>
          <w:p w:rsidR="00144816" w:rsidRPr="00144816" w:rsidRDefault="00144816" w:rsidP="005D28A2">
            <w:pPr>
              <w:pStyle w:val="TableText"/>
            </w:pPr>
            <w:r w:rsidRPr="00144816">
              <w:t>previous therapy to the target tumour or any dermatological conditions that would interfere with local assessments.</w:t>
            </w:r>
          </w:p>
        </w:tc>
        <w:tc>
          <w:tcPr>
            <w:tcW w:w="1751" w:type="dxa"/>
            <w:shd w:val="clear" w:color="auto" w:fill="auto"/>
            <w:noWrap/>
            <w:hideMark/>
          </w:tcPr>
          <w:p w:rsidR="00144816" w:rsidRPr="00144816" w:rsidRDefault="00144816" w:rsidP="005D28A2">
            <w:pPr>
              <w:pStyle w:val="TableText"/>
            </w:pPr>
            <w:r w:rsidRPr="00144816">
              <w:t>Biopsy/pathologic confirmed: prestudy confirmatory punch, deep shave, or wedge biopsy that removed no more than approximately 25% of the tumour</w:t>
            </w:r>
          </w:p>
        </w:tc>
        <w:tc>
          <w:tcPr>
            <w:tcW w:w="1620" w:type="dxa"/>
            <w:shd w:val="clear" w:color="auto" w:fill="auto"/>
            <w:noWrap/>
            <w:hideMark/>
          </w:tcPr>
          <w:p w:rsidR="00144816" w:rsidRPr="00144816" w:rsidRDefault="00144816" w:rsidP="005D28A2">
            <w:pPr>
              <w:pStyle w:val="TableText"/>
            </w:pPr>
            <w:r w:rsidRPr="00144816">
              <w:t xml:space="preserve">Visual assessment: measuring and multiplying the two largest perpendicular dimensions of the tumour. The tumour site and appropriate anatomic landmarks were mapped using a </w:t>
            </w:r>
            <w:r w:rsidRPr="00144816">
              <w:lastRenderedPageBreak/>
              <w:t>clear plastic sheet as a template to guide the excision at the end of the study</w:t>
            </w:r>
          </w:p>
        </w:tc>
        <w:tc>
          <w:tcPr>
            <w:tcW w:w="1510" w:type="dxa"/>
            <w:shd w:val="clear" w:color="auto" w:fill="auto"/>
            <w:noWrap/>
            <w:hideMark/>
          </w:tcPr>
          <w:p w:rsidR="00144816" w:rsidRPr="00144816" w:rsidRDefault="00144816" w:rsidP="005D28A2">
            <w:pPr>
              <w:pStyle w:val="TableText"/>
            </w:pPr>
            <w:r w:rsidRPr="00144816">
              <w:lastRenderedPageBreak/>
              <w:t>183/177</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Sterry 2002 12452875 (superficial)  (Europe)</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 xml:space="preserve">&gt;=18 y/o, primary tumour, histologically confirmed superficial or nodular BCC, area 0.5 cm^2-2.0 cm^2 for superficial or 0.25 cm^2-1.5 cm^2 for nodular </w:t>
            </w:r>
          </w:p>
        </w:tc>
        <w:tc>
          <w:tcPr>
            <w:tcW w:w="2589" w:type="dxa"/>
            <w:shd w:val="clear" w:color="auto" w:fill="auto"/>
            <w:noWrap/>
            <w:hideMark/>
          </w:tcPr>
          <w:p w:rsidR="00144816" w:rsidRPr="00144816" w:rsidRDefault="00144816" w:rsidP="005D28A2">
            <w:pPr>
              <w:pStyle w:val="TableText"/>
            </w:pPr>
            <w:r w:rsidRPr="00144816">
              <w:t>previous therapy to the target tumour or any dermatological conditions that would interfere with local assessments.</w:t>
            </w:r>
          </w:p>
        </w:tc>
        <w:tc>
          <w:tcPr>
            <w:tcW w:w="1751" w:type="dxa"/>
            <w:shd w:val="clear" w:color="auto" w:fill="auto"/>
            <w:noWrap/>
            <w:hideMark/>
          </w:tcPr>
          <w:p w:rsidR="00144816" w:rsidRPr="00144816" w:rsidRDefault="00144816" w:rsidP="005D28A2">
            <w:pPr>
              <w:pStyle w:val="TableText"/>
            </w:pPr>
            <w:r w:rsidRPr="00144816">
              <w:t>Biopsy/pathologic confirmed: prestudy confirmatory punch, deep shave, or wedge biopsy that removed no more than approximately 25% of the tumour</w:t>
            </w:r>
          </w:p>
        </w:tc>
        <w:tc>
          <w:tcPr>
            <w:tcW w:w="1620" w:type="dxa"/>
            <w:shd w:val="clear" w:color="auto" w:fill="auto"/>
            <w:noWrap/>
            <w:hideMark/>
          </w:tcPr>
          <w:p w:rsidR="00144816" w:rsidRPr="00144816" w:rsidRDefault="00144816" w:rsidP="005D28A2">
            <w:pPr>
              <w:pStyle w:val="TableText"/>
            </w:pPr>
            <w:r w:rsidRPr="00144816">
              <w:t>Visual assessment: measuring and multiplying the two largest perpendicular dimensions of the tumour. The tumour site and appropriate anatomic landmarks were mapped using a clear plastic sheet as a template to guide the excision at the end of the study</w:t>
            </w:r>
          </w:p>
        </w:tc>
        <w:tc>
          <w:tcPr>
            <w:tcW w:w="1510" w:type="dxa"/>
            <w:shd w:val="clear" w:color="auto" w:fill="auto"/>
            <w:noWrap/>
            <w:hideMark/>
          </w:tcPr>
          <w:p w:rsidR="00144816" w:rsidRPr="00144816" w:rsidRDefault="00144816" w:rsidP="005D28A2">
            <w:pPr>
              <w:pStyle w:val="TableText"/>
            </w:pPr>
            <w:r w:rsidRPr="00144816">
              <w:t>183/177</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Szeimies 2008 18624836 (United Kingdom/Germany/Switzerland/Australia)</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&gt;= 18 y/o; primary sBCC suitable for simple excision surgery; confirmed by histology; no histological evidence of aggressive growth patterns</w:t>
            </w:r>
          </w:p>
        </w:tc>
        <w:tc>
          <w:tcPr>
            <w:tcW w:w="2589" w:type="dxa"/>
            <w:shd w:val="clear" w:color="auto" w:fill="auto"/>
            <w:noWrap/>
            <w:hideMark/>
          </w:tcPr>
          <w:p w:rsidR="00144816" w:rsidRPr="00144816" w:rsidRDefault="00144816" w:rsidP="005D28A2">
            <w:pPr>
              <w:pStyle w:val="TableText"/>
            </w:pPr>
            <w:r w:rsidRPr="00144816">
              <w:t>&gt; 5 eligible lesions; lesions located in nose, nasolabial, or orbial areas; lesions w/ Ø &lt;8 mm or &gt;20 mm; recurrent lesions; lesions located in severely sun-damaged skin where surgery was not suitable due to frequent recurrence/</w:t>
            </w:r>
            <w:r w:rsidR="00D9383E">
              <w:t xml:space="preserve"> </w:t>
            </w:r>
            <w:r w:rsidRPr="00144816">
              <w:t xml:space="preserve">occurrence of other BCCs in the same area; lesions located close to or involving a scar of SCC; pigmented, morpheaform or infiltrating lesions on the treated area; at risk in terms of precautions, warnings, and </w:t>
            </w:r>
            <w:r w:rsidRPr="00144816">
              <w:lastRenderedPageBreak/>
              <w:t>contraindications as indicated in MAL-PDT package insert; pregnant or breastfeeding women.</w:t>
            </w:r>
          </w:p>
        </w:tc>
        <w:tc>
          <w:tcPr>
            <w:tcW w:w="1751" w:type="dxa"/>
            <w:shd w:val="clear" w:color="auto" w:fill="auto"/>
            <w:noWrap/>
            <w:hideMark/>
          </w:tcPr>
          <w:p w:rsidR="00144816" w:rsidRPr="00144816" w:rsidRDefault="00144816" w:rsidP="005D28A2">
            <w:pPr>
              <w:pStyle w:val="TableText"/>
            </w:pPr>
            <w:r w:rsidRPr="00144816">
              <w:lastRenderedPageBreak/>
              <w:t xml:space="preserve">Biopsy/pathologic confirmed: biopsy at screening </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196/196/196</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Thissen 2000 10940063 (Netherlands)</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superficial or nodular BCCs, clinically &lt;2 cm Ø, localized anywhere in the head and neck area</w:t>
            </w:r>
          </w:p>
        </w:tc>
        <w:tc>
          <w:tcPr>
            <w:tcW w:w="2589" w:type="dxa"/>
            <w:shd w:val="clear" w:color="auto" w:fill="auto"/>
            <w:noWrap/>
            <w:hideMark/>
          </w:tcPr>
          <w:p w:rsidR="00144816" w:rsidRPr="00144816" w:rsidRDefault="00144816" w:rsidP="005D28A2">
            <w:pPr>
              <w:pStyle w:val="TableText"/>
            </w:pPr>
            <w:r w:rsidRPr="00144816">
              <w:t>recurrent BCCs, histologic subtypes not nodular or superficial, &gt;2 cm Ø, &gt;=5 BCCs, and contraindications to surgery or cryosurgery (eg, cold intolerance). LE &lt;1 yr.</w:t>
            </w:r>
          </w:p>
        </w:tc>
        <w:tc>
          <w:tcPr>
            <w:tcW w:w="1751" w:type="dxa"/>
            <w:shd w:val="clear" w:color="auto" w:fill="auto"/>
            <w:noWrap/>
            <w:hideMark/>
          </w:tcPr>
          <w:p w:rsidR="00144816" w:rsidRPr="00144816" w:rsidRDefault="00144816" w:rsidP="005D28A2">
            <w:pPr>
              <w:pStyle w:val="TableText"/>
            </w:pPr>
            <w:r w:rsidRPr="00144816">
              <w:t>Method of diagnosis not reported</w:t>
            </w:r>
          </w:p>
        </w:tc>
        <w:tc>
          <w:tcPr>
            <w:tcW w:w="1620" w:type="dxa"/>
            <w:shd w:val="clear" w:color="auto" w:fill="auto"/>
            <w:noWrap/>
            <w:hideMark/>
          </w:tcPr>
          <w:p w:rsidR="00144816" w:rsidRPr="00144816" w:rsidRDefault="00144816" w:rsidP="005D28A2">
            <w:pPr>
              <w:pStyle w:val="TableText"/>
            </w:pPr>
            <w:r w:rsidRPr="00144816">
              <w:t xml:space="preserve">Visual assessment: Before treatment, the tumors were documented with photographs </w:t>
            </w:r>
          </w:p>
        </w:tc>
        <w:tc>
          <w:tcPr>
            <w:tcW w:w="1510" w:type="dxa"/>
            <w:shd w:val="clear" w:color="auto" w:fill="auto"/>
            <w:noWrap/>
            <w:hideMark/>
          </w:tcPr>
          <w:p w:rsidR="00144816" w:rsidRPr="00144816" w:rsidRDefault="00144816" w:rsidP="005D28A2">
            <w:pPr>
              <w:pStyle w:val="TableText"/>
            </w:pPr>
            <w:r w:rsidRPr="00144816">
              <w:t>96/96/96</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Torres 2004 15606733 (loma linda, CA; boston, MA)</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biopsy proven BCC; &lt;=25% of the lesion removed at time of biopsy. 18 y/o, histologically confirmed, primary, superficial, nodular, or mixed superficial and nodular BCC. Target tumor consistent w/ BCC w/ no histologic evidence of aggressive growth patterns, including severe squamous metaplasia, morpheaform or infiltrative/desmoplastic features, or basosquamous features, and suitable for treatment with Mohs. area &gt;=0.5 cm2 and Ø &lt;2.0 cm and could be located on an acceptable area of the body as determined by the investigator.</w:t>
            </w:r>
          </w:p>
        </w:tc>
        <w:tc>
          <w:tcPr>
            <w:tcW w:w="2589" w:type="dxa"/>
            <w:shd w:val="clear" w:color="auto" w:fill="auto"/>
            <w:noWrap/>
            <w:hideMark/>
          </w:tcPr>
          <w:p w:rsidR="00144816" w:rsidRPr="00144816" w:rsidRDefault="00144816" w:rsidP="005D28A2">
            <w:pPr>
              <w:pStyle w:val="TableText"/>
            </w:pPr>
            <w:r w:rsidRPr="00144816">
              <w:t>previous therapy to the target tumor or dermatologic conditions that could interfere with skin assessments.</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 xml:space="preserve">Visual assessment: use of tattoo in center of lesion </w:t>
            </w:r>
          </w:p>
        </w:tc>
        <w:tc>
          <w:tcPr>
            <w:tcW w:w="1510" w:type="dxa"/>
            <w:shd w:val="clear" w:color="auto" w:fill="auto"/>
            <w:noWrap/>
            <w:hideMark/>
          </w:tcPr>
          <w:p w:rsidR="00144816" w:rsidRPr="00144816" w:rsidRDefault="00144816" w:rsidP="005D28A2">
            <w:pPr>
              <w:pStyle w:val="TableText"/>
            </w:pPr>
            <w:r w:rsidRPr="00144816">
              <w:t>72/72/69</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Tran 2012 22511036 (US)</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Caucasian, Fitzpatrick skin type I or II, 46-84 y/o. Superficial, nodular, multicentric BCCs, and SCCIS 0.4–3 cm</w:t>
            </w:r>
          </w:p>
        </w:tc>
        <w:tc>
          <w:tcPr>
            <w:tcW w:w="2589" w:type="dxa"/>
            <w:shd w:val="clear" w:color="auto" w:fill="auto"/>
            <w:noWrap/>
            <w:hideMark/>
          </w:tcPr>
          <w:p w:rsidR="00144816" w:rsidRPr="00144816" w:rsidRDefault="00144816" w:rsidP="005D28A2">
            <w:pPr>
              <w:pStyle w:val="TableText"/>
            </w:pPr>
            <w:r w:rsidRPr="00144816">
              <w:t>Morpheaform, infiltrating, and recurrent BCCs and invasive SCCs or lesions on the head and neck, hands, feet, and genital areas.</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Visual assessment</w:t>
            </w:r>
          </w:p>
        </w:tc>
        <w:tc>
          <w:tcPr>
            <w:tcW w:w="1510" w:type="dxa"/>
            <w:shd w:val="clear" w:color="auto" w:fill="auto"/>
            <w:noWrap/>
            <w:hideMark/>
          </w:tcPr>
          <w:p w:rsidR="00144816" w:rsidRPr="00144816" w:rsidRDefault="00144816" w:rsidP="005D28A2">
            <w:pPr>
              <w:pStyle w:val="TableText"/>
            </w:pPr>
            <w:r w:rsidRPr="00144816">
              <w:t>20/20/20</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van der Geer 2012 22385074 (Netherlands)</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&gt;18 y/0ears w/ nodular (or nodular and partially superficial) BCC 1–5 cm Ø in the face</w:t>
            </w:r>
          </w:p>
        </w:tc>
        <w:tc>
          <w:tcPr>
            <w:tcW w:w="2589" w:type="dxa"/>
            <w:shd w:val="clear" w:color="auto" w:fill="auto"/>
            <w:noWrap/>
            <w:hideMark/>
          </w:tcPr>
          <w:p w:rsidR="00144816" w:rsidRPr="00144816" w:rsidRDefault="00144816" w:rsidP="005D28A2">
            <w:pPr>
              <w:pStyle w:val="TableText"/>
            </w:pPr>
            <w:r w:rsidRPr="00144816">
              <w:t>pregnant women, women who were breastfeeding, recurrent BCC, aggressive growth pattern, pts w/ BCC w/in 1 cm from the eyes, lips or mucosa of the nose, another skin tumour w/in 5 cm of the target tumour, and allergy to imiquimod 5% cream or components of the cream</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Phtotgraphy and computer assesment</w:t>
            </w:r>
          </w:p>
        </w:tc>
        <w:tc>
          <w:tcPr>
            <w:tcW w:w="1510" w:type="dxa"/>
            <w:shd w:val="clear" w:color="auto" w:fill="auto"/>
            <w:noWrap/>
            <w:hideMark/>
          </w:tcPr>
          <w:p w:rsidR="00144816" w:rsidRPr="00144816" w:rsidRDefault="00144816" w:rsidP="005D28A2">
            <w:pPr>
              <w:pStyle w:val="TableText"/>
            </w:pPr>
            <w:r w:rsidRPr="00144816">
              <w:t>70/70/70</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Wang 2001 11298545 (England)</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histopathologically verified BCC suitable for PDT and cryosurgery, 20-90 y/o</w:t>
            </w:r>
          </w:p>
        </w:tc>
        <w:tc>
          <w:tcPr>
            <w:tcW w:w="2589" w:type="dxa"/>
            <w:shd w:val="clear" w:color="auto" w:fill="auto"/>
            <w:noWrap/>
            <w:hideMark/>
          </w:tcPr>
          <w:p w:rsidR="00144816" w:rsidRPr="00144816" w:rsidRDefault="00144816" w:rsidP="005D28A2">
            <w:pPr>
              <w:pStyle w:val="TableText"/>
            </w:pPr>
            <w:r w:rsidRPr="00144816">
              <w:t>pregnancy/lactation; severe malignancies; daily intake of vitamins E or C, b-carotene, iron preparations, non-steroidal anti-inflammatory agents or strong analgesics in higher than specified doses; BCC on the nose; morphoeic growth; porphyria; abdominal pain of unknown aetiology; photosensitivity;and treatment of the BCC with topical steroids type III or IV within the last month.</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88/88/83</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Wettstein 2013 23566745 (Switzerland)</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Industry supplied materials</w:t>
            </w:r>
          </w:p>
        </w:tc>
        <w:tc>
          <w:tcPr>
            <w:tcW w:w="1890" w:type="dxa"/>
            <w:shd w:val="clear" w:color="auto" w:fill="auto"/>
            <w:noWrap/>
            <w:hideMark/>
          </w:tcPr>
          <w:p w:rsidR="00144816" w:rsidRPr="00144816" w:rsidRDefault="00144816" w:rsidP="005D28A2">
            <w:pPr>
              <w:pStyle w:val="TableText"/>
            </w:pPr>
            <w:r w:rsidRPr="00144816">
              <w:t xml:space="preserve">diagnosed clinically or by biopsy w/ primary nodular BCC of the face presenting at the University Hospital Basel between June 2007 and February </w:t>
            </w:r>
            <w:r w:rsidRPr="00144816">
              <w:lastRenderedPageBreak/>
              <w:t>2008</w:t>
            </w:r>
          </w:p>
        </w:tc>
        <w:tc>
          <w:tcPr>
            <w:tcW w:w="2589" w:type="dxa"/>
            <w:shd w:val="clear" w:color="auto" w:fill="auto"/>
            <w:noWrap/>
            <w:hideMark/>
          </w:tcPr>
          <w:p w:rsidR="00144816" w:rsidRPr="00144816" w:rsidRDefault="00144816" w:rsidP="005D28A2">
            <w:pPr>
              <w:pStyle w:val="TableText"/>
            </w:pPr>
            <w:r w:rsidRPr="00144816">
              <w:lastRenderedPageBreak/>
              <w:t>patients under steroid medication or immunosuppressive therapy; patients with direct defect closure; pathological analysis revealed incomplete tumour resection or another BCC sub-type than solid/nodular</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Confocal assessment</w:t>
            </w:r>
          </w:p>
        </w:tc>
        <w:tc>
          <w:tcPr>
            <w:tcW w:w="1510" w:type="dxa"/>
            <w:shd w:val="clear" w:color="auto" w:fill="auto"/>
            <w:noWrap/>
            <w:hideMark/>
          </w:tcPr>
          <w:p w:rsidR="00144816" w:rsidRPr="00144816" w:rsidRDefault="00144816" w:rsidP="005D28A2">
            <w:pPr>
              <w:pStyle w:val="TableText"/>
            </w:pPr>
            <w:r w:rsidRPr="00144816">
              <w:t>32/23/23</w:t>
            </w:r>
          </w:p>
        </w:tc>
      </w:tr>
      <w:tr w:rsidR="000115D5" w:rsidRPr="00144816" w:rsidTr="005D28A2">
        <w:trPr>
          <w:trHeight w:val="300"/>
        </w:trPr>
        <w:tc>
          <w:tcPr>
            <w:tcW w:w="1890" w:type="dxa"/>
            <w:shd w:val="clear" w:color="auto" w:fill="auto"/>
            <w:noWrap/>
            <w:hideMark/>
          </w:tcPr>
          <w:p w:rsidR="00144816" w:rsidRPr="00144816" w:rsidRDefault="00144816" w:rsidP="005D28A2">
            <w:pPr>
              <w:pStyle w:val="TableText"/>
            </w:pPr>
            <w:r w:rsidRPr="00144816">
              <w:lastRenderedPageBreak/>
              <w:t>NRCS</w:t>
            </w:r>
          </w:p>
        </w:tc>
        <w:tc>
          <w:tcPr>
            <w:tcW w:w="1170" w:type="dxa"/>
            <w:shd w:val="clear" w:color="auto" w:fill="auto"/>
            <w:noWrap/>
            <w:hideMark/>
          </w:tcPr>
          <w:p w:rsidR="00144816" w:rsidRPr="00144816" w:rsidRDefault="00144816" w:rsidP="005D28A2">
            <w:pPr>
              <w:pStyle w:val="TableText"/>
            </w:pPr>
          </w:p>
        </w:tc>
        <w:tc>
          <w:tcPr>
            <w:tcW w:w="1260" w:type="dxa"/>
            <w:shd w:val="clear" w:color="auto" w:fill="auto"/>
            <w:noWrap/>
            <w:hideMark/>
          </w:tcPr>
          <w:p w:rsidR="00144816" w:rsidRPr="00144816" w:rsidRDefault="00144816" w:rsidP="005D28A2">
            <w:pPr>
              <w:pStyle w:val="TableText"/>
            </w:pPr>
          </w:p>
        </w:tc>
        <w:tc>
          <w:tcPr>
            <w:tcW w:w="1890" w:type="dxa"/>
            <w:shd w:val="clear" w:color="auto" w:fill="auto"/>
            <w:noWrap/>
            <w:hideMark/>
          </w:tcPr>
          <w:p w:rsidR="00144816" w:rsidRPr="00144816" w:rsidRDefault="00144816" w:rsidP="005D28A2">
            <w:pPr>
              <w:pStyle w:val="TableText"/>
            </w:pPr>
          </w:p>
        </w:tc>
        <w:tc>
          <w:tcPr>
            <w:tcW w:w="2589" w:type="dxa"/>
            <w:shd w:val="clear" w:color="auto" w:fill="auto"/>
            <w:noWrap/>
            <w:hideMark/>
          </w:tcPr>
          <w:p w:rsidR="00144816" w:rsidRPr="00144816" w:rsidRDefault="00144816" w:rsidP="005D28A2">
            <w:pPr>
              <w:pStyle w:val="TableText"/>
            </w:pPr>
          </w:p>
        </w:tc>
        <w:tc>
          <w:tcPr>
            <w:tcW w:w="1751" w:type="dxa"/>
            <w:shd w:val="clear" w:color="auto" w:fill="auto"/>
            <w:noWrap/>
            <w:hideMark/>
          </w:tcPr>
          <w:p w:rsidR="00144816" w:rsidRPr="00144816" w:rsidRDefault="00144816" w:rsidP="005D28A2">
            <w:pPr>
              <w:pStyle w:val="TableText"/>
            </w:pPr>
          </w:p>
        </w:tc>
        <w:tc>
          <w:tcPr>
            <w:tcW w:w="1620" w:type="dxa"/>
            <w:shd w:val="clear" w:color="auto" w:fill="auto"/>
            <w:noWrap/>
            <w:hideMark/>
          </w:tcPr>
          <w:p w:rsidR="00144816" w:rsidRPr="00144816" w:rsidRDefault="00144816" w:rsidP="005D28A2">
            <w:pPr>
              <w:pStyle w:val="TableText"/>
            </w:pPr>
          </w:p>
        </w:tc>
        <w:tc>
          <w:tcPr>
            <w:tcW w:w="1510" w:type="dxa"/>
            <w:shd w:val="clear" w:color="auto" w:fill="auto"/>
            <w:noWrap/>
            <w:hideMark/>
          </w:tcPr>
          <w:p w:rsidR="00144816" w:rsidRPr="00144816" w:rsidRDefault="00144816" w:rsidP="005D28A2">
            <w:pPr>
              <w:pStyle w:val="TableText"/>
            </w:pPr>
          </w:p>
        </w:tc>
      </w:tr>
      <w:tr w:rsidR="000115D5" w:rsidRPr="00144816" w:rsidTr="005D28A2">
        <w:trPr>
          <w:trHeight w:val="260"/>
        </w:trPr>
        <w:tc>
          <w:tcPr>
            <w:tcW w:w="1890" w:type="dxa"/>
            <w:shd w:val="clear" w:color="auto" w:fill="auto"/>
            <w:noWrap/>
            <w:vAlign w:val="bottom"/>
            <w:hideMark/>
          </w:tcPr>
          <w:p w:rsidR="00144816" w:rsidRPr="00144816" w:rsidRDefault="00144816" w:rsidP="005D28A2">
            <w:pPr>
              <w:pStyle w:val="TableText"/>
            </w:pPr>
            <w:r w:rsidRPr="00144816">
              <w:t>Ahmed 2000 11069453 (UK)</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clinical diagnosis of Bowen's Disease</w:t>
            </w:r>
          </w:p>
        </w:tc>
        <w:tc>
          <w:tcPr>
            <w:tcW w:w="2589" w:type="dxa"/>
            <w:shd w:val="clear" w:color="auto" w:fill="auto"/>
            <w:noWrap/>
            <w:hideMark/>
          </w:tcPr>
          <w:p w:rsidR="00144816" w:rsidRPr="00144816" w:rsidRDefault="00144816" w:rsidP="005D28A2">
            <w:pPr>
              <w:pStyle w:val="TableText"/>
            </w:pPr>
            <w:r w:rsidRPr="00144816">
              <w:t>Patients with recurrent lesions and those on immunosuppression</w:t>
            </w:r>
          </w:p>
        </w:tc>
        <w:tc>
          <w:tcPr>
            <w:tcW w:w="1751" w:type="dxa"/>
            <w:shd w:val="clear" w:color="auto" w:fill="auto"/>
            <w:noWrap/>
            <w:vAlign w:val="bottom"/>
            <w:hideMark/>
          </w:tcPr>
          <w:p w:rsidR="00144816" w:rsidRPr="00144816" w:rsidRDefault="00144816" w:rsidP="005D28A2">
            <w:pPr>
              <w:pStyle w:val="TableText"/>
            </w:pPr>
            <w:r w:rsidRPr="00144816">
              <w:t>Biopsy/pathologic confirmed: biopsy-proven</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vAlign w:val="bottom"/>
            <w:hideMark/>
          </w:tcPr>
          <w:p w:rsidR="00144816" w:rsidRPr="00144816" w:rsidRDefault="00144816" w:rsidP="005D28A2">
            <w:pPr>
              <w:pStyle w:val="TableText"/>
            </w:pPr>
            <w:r w:rsidRPr="00144816">
              <w:t>73/67</w:t>
            </w:r>
          </w:p>
        </w:tc>
      </w:tr>
      <w:tr w:rsidR="000115D5" w:rsidRPr="00144816" w:rsidTr="005D28A2">
        <w:trPr>
          <w:trHeight w:val="260"/>
        </w:trPr>
        <w:tc>
          <w:tcPr>
            <w:tcW w:w="1890" w:type="dxa"/>
            <w:shd w:val="clear" w:color="auto" w:fill="auto"/>
            <w:noWrap/>
            <w:vAlign w:val="bottom"/>
            <w:hideMark/>
          </w:tcPr>
          <w:p w:rsidR="00144816" w:rsidRPr="00144816" w:rsidRDefault="00144816" w:rsidP="005D28A2">
            <w:pPr>
              <w:pStyle w:val="TableText"/>
            </w:pPr>
            <w:r w:rsidRPr="00144816">
              <w:t>Ballester-Sanchez 2016 26985197 (Spain)</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adults, primary superficial or nodular BCC w/ T1 and T2 clinical stage</w:t>
            </w:r>
          </w:p>
        </w:tc>
        <w:tc>
          <w:tcPr>
            <w:tcW w:w="2589" w:type="dxa"/>
            <w:shd w:val="clear" w:color="auto" w:fill="auto"/>
            <w:noWrap/>
            <w:hideMark/>
          </w:tcPr>
          <w:p w:rsidR="00144816" w:rsidRPr="00144816" w:rsidRDefault="00144816" w:rsidP="005D28A2">
            <w:pPr>
              <w:pStyle w:val="TableText"/>
            </w:pPr>
            <w:r w:rsidRPr="00144816">
              <w:t>Ø &gt;20 mm , depth &gt;4 mm, or located on irregular surfaces</w:t>
            </w:r>
          </w:p>
        </w:tc>
        <w:tc>
          <w:tcPr>
            <w:tcW w:w="1751" w:type="dxa"/>
            <w:shd w:val="clear" w:color="auto" w:fill="auto"/>
            <w:noWrap/>
            <w:vAlign w:val="bottom"/>
            <w:hideMark/>
          </w:tcPr>
          <w:p w:rsidR="00144816" w:rsidRPr="00144816" w:rsidRDefault="00144816" w:rsidP="005D28A2">
            <w:pPr>
              <w:pStyle w:val="TableText"/>
            </w:pPr>
            <w:r w:rsidRPr="00144816">
              <w:t>Biopsy/pathologic confirmed: histopathologic examination</w:t>
            </w:r>
          </w:p>
        </w:tc>
        <w:tc>
          <w:tcPr>
            <w:tcW w:w="1620" w:type="dxa"/>
            <w:shd w:val="clear" w:color="auto" w:fill="auto"/>
            <w:noWrap/>
            <w:hideMark/>
          </w:tcPr>
          <w:p w:rsidR="00144816" w:rsidRPr="00144816" w:rsidRDefault="00144816" w:rsidP="005D28A2">
            <w:pPr>
              <w:pStyle w:val="TableText"/>
            </w:pPr>
            <w:r w:rsidRPr="00144816">
              <w:t>Visual assessment: clinically aided by dermoscope</w:t>
            </w:r>
          </w:p>
        </w:tc>
        <w:tc>
          <w:tcPr>
            <w:tcW w:w="1510" w:type="dxa"/>
            <w:shd w:val="clear" w:color="auto" w:fill="auto"/>
            <w:noWrap/>
            <w:vAlign w:val="bottom"/>
            <w:hideMark/>
          </w:tcPr>
          <w:p w:rsidR="00144816" w:rsidRPr="00144816" w:rsidRDefault="00144816" w:rsidP="005D28A2">
            <w:pPr>
              <w:pStyle w:val="TableText"/>
            </w:pPr>
            <w:r w:rsidRPr="00144816">
              <w:t>40/40</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Chren 2013 23190903 (U.S.)</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consecutive patients with nonrecurrent NMSC diagnosed in 1999 and 2000 and treated in 2 sites, a university-affiliated private dermatology practice and the dermatology clinic at the nearby VA medical center affiliated with the university</w:t>
            </w:r>
          </w:p>
        </w:tc>
        <w:tc>
          <w:tcPr>
            <w:tcW w:w="2589" w:type="dxa"/>
            <w:shd w:val="clear" w:color="auto" w:fill="auto"/>
            <w:noWrap/>
            <w:hideMark/>
          </w:tcPr>
          <w:p w:rsidR="00144816" w:rsidRPr="00144816" w:rsidRDefault="00144816" w:rsidP="005D28A2">
            <w:pPr>
              <w:pStyle w:val="TableText"/>
            </w:pPr>
          </w:p>
        </w:tc>
        <w:tc>
          <w:tcPr>
            <w:tcW w:w="1751" w:type="dxa"/>
            <w:shd w:val="clear" w:color="auto" w:fill="auto"/>
            <w:noWrap/>
            <w:hideMark/>
          </w:tcPr>
          <w:p w:rsidR="00144816" w:rsidRPr="00144816" w:rsidRDefault="00144816" w:rsidP="005D28A2">
            <w:pPr>
              <w:pStyle w:val="TableText"/>
            </w:pPr>
            <w:r w:rsidRPr="00144816">
              <w:t>Biopsy/pathologic confirmed: Biopsies were performed either by dermatology faculty members or by dermatology residents</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1253/1174</w:t>
            </w:r>
          </w:p>
        </w:tc>
      </w:tr>
      <w:tr w:rsidR="000115D5" w:rsidRPr="00144816" w:rsidTr="005D28A2">
        <w:trPr>
          <w:trHeight w:val="260"/>
        </w:trPr>
        <w:tc>
          <w:tcPr>
            <w:tcW w:w="1890" w:type="dxa"/>
            <w:shd w:val="clear" w:color="auto" w:fill="auto"/>
            <w:noWrap/>
            <w:vAlign w:val="bottom"/>
            <w:hideMark/>
          </w:tcPr>
          <w:p w:rsidR="00144816" w:rsidRPr="00144816" w:rsidRDefault="00144816" w:rsidP="005D28A2">
            <w:pPr>
              <w:pStyle w:val="TableText"/>
            </w:pPr>
            <w:r w:rsidRPr="00144816">
              <w:t>Cosgarea 2012 22738399 (Romania)</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Men or women &gt;18 y/o, clinically diagnosised primary BCC, superficial or nodular BCC, with a maximum 3 mm above the skin level</w:t>
            </w:r>
          </w:p>
        </w:tc>
        <w:tc>
          <w:tcPr>
            <w:tcW w:w="2589" w:type="dxa"/>
            <w:shd w:val="clear" w:color="auto" w:fill="auto"/>
            <w:noWrap/>
            <w:hideMark/>
          </w:tcPr>
          <w:p w:rsidR="00144816" w:rsidRPr="00144816" w:rsidRDefault="00144816" w:rsidP="005D28A2">
            <w:pPr>
              <w:pStyle w:val="TableText"/>
            </w:pPr>
            <w:r w:rsidRPr="00144816">
              <w:t>recurrent, pigmented or morpheaform lesions; use of phototoxic ⁄ photosensitive drugs, hypersensitivity to light or ALA cream, pregnant or breastfeeding women</w:t>
            </w:r>
          </w:p>
        </w:tc>
        <w:tc>
          <w:tcPr>
            <w:tcW w:w="1751" w:type="dxa"/>
            <w:shd w:val="clear" w:color="auto" w:fill="auto"/>
            <w:noWrap/>
            <w:vAlign w:val="bottom"/>
            <w:hideMark/>
          </w:tcPr>
          <w:p w:rsidR="00144816" w:rsidRPr="00144816" w:rsidRDefault="00144816" w:rsidP="005D28A2">
            <w:pPr>
              <w:pStyle w:val="TableText"/>
            </w:pPr>
            <w:r w:rsidRPr="00144816">
              <w:t>Biopsy/pathologic confirmed: histologically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vAlign w:val="bottom"/>
            <w:hideMark/>
          </w:tcPr>
          <w:p w:rsidR="00144816" w:rsidRPr="00144816" w:rsidRDefault="00144816" w:rsidP="005D28A2">
            <w:pPr>
              <w:pStyle w:val="TableText"/>
            </w:pPr>
            <w:r w:rsidRPr="00144816">
              <w:t>72/72</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Graells 2014 24139468 (Spain)</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patients treated for their first BCC at the hospital between January 2003 and December 2011</w:t>
            </w:r>
          </w:p>
        </w:tc>
        <w:tc>
          <w:tcPr>
            <w:tcW w:w="2589" w:type="dxa"/>
            <w:shd w:val="clear" w:color="auto" w:fill="auto"/>
            <w:noWrap/>
            <w:hideMark/>
          </w:tcPr>
          <w:p w:rsidR="00144816" w:rsidRPr="00144816" w:rsidRDefault="00144816" w:rsidP="005D28A2">
            <w:pPr>
              <w:pStyle w:val="TableText"/>
            </w:pPr>
            <w:r w:rsidRPr="00144816">
              <w:t>patients followed for less than 3 months</w:t>
            </w:r>
          </w:p>
        </w:tc>
        <w:tc>
          <w:tcPr>
            <w:tcW w:w="1751" w:type="dxa"/>
            <w:shd w:val="clear" w:color="auto" w:fill="auto"/>
            <w:noWrap/>
            <w:hideMark/>
          </w:tcPr>
          <w:p w:rsidR="00144816" w:rsidRPr="00144816" w:rsidRDefault="00144816" w:rsidP="005D28A2">
            <w:pPr>
              <w:pStyle w:val="TableText"/>
            </w:pPr>
            <w:r w:rsidRPr="00144816">
              <w:t>Biopsy/pathologic confirmed: histologically confirmed BCCs</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623/621</w:t>
            </w:r>
          </w:p>
        </w:tc>
      </w:tr>
      <w:tr w:rsidR="000115D5" w:rsidRPr="00144816" w:rsidTr="005D28A2">
        <w:trPr>
          <w:trHeight w:val="260"/>
        </w:trPr>
        <w:tc>
          <w:tcPr>
            <w:tcW w:w="1890" w:type="dxa"/>
            <w:shd w:val="clear" w:color="auto" w:fill="auto"/>
            <w:noWrap/>
            <w:vAlign w:val="bottom"/>
            <w:hideMark/>
          </w:tcPr>
          <w:p w:rsidR="00144816" w:rsidRPr="00144816" w:rsidRDefault="00144816" w:rsidP="005D28A2">
            <w:pPr>
              <w:pStyle w:val="TableText"/>
            </w:pPr>
            <w:r w:rsidRPr="00144816">
              <w:t>Lippert 2013 23725586 (Czech Republic)</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one confirmed nBCC, and there was one tested nBCC per person, Ø 20-30 mm</w:t>
            </w:r>
          </w:p>
        </w:tc>
        <w:tc>
          <w:tcPr>
            <w:tcW w:w="2589" w:type="dxa"/>
            <w:shd w:val="clear" w:color="auto" w:fill="auto"/>
            <w:noWrap/>
            <w:hideMark/>
          </w:tcPr>
          <w:p w:rsidR="00144816" w:rsidRPr="00144816" w:rsidRDefault="00144816" w:rsidP="005D28A2">
            <w:pPr>
              <w:pStyle w:val="TableText"/>
            </w:pPr>
            <w:r w:rsidRPr="00144816">
              <w:t>tumors in the middle portion of the face and areas adjacent to the eyes and ears</w:t>
            </w:r>
          </w:p>
        </w:tc>
        <w:tc>
          <w:tcPr>
            <w:tcW w:w="1751" w:type="dxa"/>
            <w:shd w:val="clear" w:color="auto" w:fill="auto"/>
            <w:noWrap/>
            <w:vAlign w:val="bottom"/>
            <w:hideMark/>
          </w:tcPr>
          <w:p w:rsidR="00144816" w:rsidRPr="00144816" w:rsidRDefault="00144816" w:rsidP="005D28A2">
            <w:pPr>
              <w:pStyle w:val="TableText"/>
            </w:pPr>
            <w:r w:rsidRPr="00144816">
              <w:t xml:space="preserve">Biopsy/pathologic confirmed: Verified by biopsy sample from the peripheral portion of the tumor, which was </w:t>
            </w:r>
            <w:r w:rsidRPr="00144816">
              <w:lastRenderedPageBreak/>
              <w:t>as small as possible so that the area intended for the experiment was not reduced,</w:t>
            </w:r>
          </w:p>
        </w:tc>
        <w:tc>
          <w:tcPr>
            <w:tcW w:w="1620" w:type="dxa"/>
            <w:shd w:val="clear" w:color="auto" w:fill="auto"/>
            <w:noWrap/>
            <w:vAlign w:val="bottom"/>
            <w:hideMark/>
          </w:tcPr>
          <w:p w:rsidR="00144816" w:rsidRPr="00144816" w:rsidRDefault="00144816" w:rsidP="005D28A2">
            <w:pPr>
              <w:pStyle w:val="TableText"/>
            </w:pPr>
            <w:r w:rsidRPr="00144816">
              <w:lastRenderedPageBreak/>
              <w:t>Other: thickness measured using high-resolution ultrasound</w:t>
            </w:r>
          </w:p>
        </w:tc>
        <w:tc>
          <w:tcPr>
            <w:tcW w:w="1510" w:type="dxa"/>
            <w:shd w:val="clear" w:color="auto" w:fill="auto"/>
            <w:noWrap/>
            <w:vAlign w:val="bottom"/>
            <w:hideMark/>
          </w:tcPr>
          <w:p w:rsidR="00144816" w:rsidRPr="00144816" w:rsidRDefault="00144816" w:rsidP="005D28A2">
            <w:pPr>
              <w:pStyle w:val="TableText"/>
            </w:pPr>
            <w:r w:rsidRPr="00144816">
              <w:t>56/56</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lastRenderedPageBreak/>
              <w:t>Pampena 2016 26589877 (Italy)</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Histologically verified NMSC</w:t>
            </w:r>
          </w:p>
        </w:tc>
        <w:tc>
          <w:tcPr>
            <w:tcW w:w="2589" w:type="dxa"/>
            <w:shd w:val="clear" w:color="auto" w:fill="auto"/>
            <w:noWrap/>
            <w:hideMark/>
          </w:tcPr>
          <w:p w:rsidR="00144816" w:rsidRPr="00144816" w:rsidRDefault="00144816" w:rsidP="005D28A2">
            <w:pPr>
              <w:pStyle w:val="TableText"/>
            </w:pPr>
            <w:r w:rsidRPr="00144816">
              <w:t>lymphatic or visceral metastases</w:t>
            </w:r>
          </w:p>
        </w:tc>
        <w:tc>
          <w:tcPr>
            <w:tcW w:w="1751" w:type="dxa"/>
            <w:shd w:val="clear" w:color="auto" w:fill="auto"/>
            <w:noWrap/>
            <w:hideMark/>
          </w:tcPr>
          <w:p w:rsidR="00144816" w:rsidRPr="00144816" w:rsidRDefault="00144816" w:rsidP="005D28A2">
            <w:pPr>
              <w:pStyle w:val="TableText"/>
            </w:pPr>
            <w:r w:rsidRPr="00144816">
              <w:t>Biopsy/pathologic confirmed: histologically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385/385</w:t>
            </w:r>
          </w:p>
        </w:tc>
      </w:tr>
      <w:tr w:rsidR="000115D5" w:rsidRPr="00144816" w:rsidTr="005D28A2">
        <w:trPr>
          <w:trHeight w:val="260"/>
        </w:trPr>
        <w:tc>
          <w:tcPr>
            <w:tcW w:w="1890" w:type="dxa"/>
            <w:shd w:val="clear" w:color="auto" w:fill="auto"/>
            <w:noWrap/>
            <w:vAlign w:val="bottom"/>
            <w:hideMark/>
          </w:tcPr>
          <w:p w:rsidR="00144816" w:rsidRPr="00144816" w:rsidRDefault="00144816" w:rsidP="005D28A2">
            <w:pPr>
              <w:pStyle w:val="TableText"/>
            </w:pPr>
            <w:r w:rsidRPr="00144816">
              <w:t>Shah 2009 19588534 (U.S.)</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 industry support</w:t>
            </w:r>
          </w:p>
        </w:tc>
        <w:tc>
          <w:tcPr>
            <w:tcW w:w="1890" w:type="dxa"/>
            <w:shd w:val="clear" w:color="auto" w:fill="auto"/>
            <w:noWrap/>
            <w:hideMark/>
          </w:tcPr>
          <w:p w:rsidR="00144816" w:rsidRPr="00144816" w:rsidRDefault="00144816" w:rsidP="005D28A2">
            <w:pPr>
              <w:pStyle w:val="TableText"/>
            </w:pPr>
            <w:r w:rsidRPr="00144816">
              <w:t>male patients w/ biopsy-proven BCCs on the trunk and extremities</w:t>
            </w:r>
          </w:p>
        </w:tc>
        <w:tc>
          <w:tcPr>
            <w:tcW w:w="2589" w:type="dxa"/>
            <w:shd w:val="clear" w:color="auto" w:fill="auto"/>
            <w:noWrap/>
            <w:hideMark/>
          </w:tcPr>
          <w:p w:rsidR="00144816" w:rsidRPr="00144816" w:rsidRDefault="00144816" w:rsidP="005D28A2">
            <w:pPr>
              <w:pStyle w:val="TableText"/>
            </w:pPr>
            <w:r w:rsidRPr="00144816">
              <w:t>Morpheaform, infiltrative, and recurrent BCCs</w:t>
            </w:r>
          </w:p>
        </w:tc>
        <w:tc>
          <w:tcPr>
            <w:tcW w:w="1751" w:type="dxa"/>
            <w:shd w:val="clear" w:color="auto" w:fill="auto"/>
            <w:noWrap/>
            <w:vAlign w:val="bottom"/>
            <w:hideMark/>
          </w:tcPr>
          <w:p w:rsidR="00144816" w:rsidRPr="00144816" w:rsidRDefault="00144816" w:rsidP="005D28A2">
            <w:pPr>
              <w:pStyle w:val="TableText"/>
            </w:pPr>
            <w:r w:rsidRPr="00144816">
              <w:t>Biopsy/pathologic confirmed: biopsy-proven</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vAlign w:val="bottom"/>
            <w:hideMark/>
          </w:tcPr>
          <w:p w:rsidR="00144816" w:rsidRPr="00144816" w:rsidRDefault="00144816" w:rsidP="005D28A2">
            <w:pPr>
              <w:pStyle w:val="TableText"/>
            </w:pPr>
            <w:r w:rsidRPr="00144816">
              <w:t>32/32</w:t>
            </w:r>
          </w:p>
        </w:tc>
      </w:tr>
      <w:tr w:rsidR="000115D5" w:rsidRPr="00144816" w:rsidTr="005D28A2">
        <w:trPr>
          <w:trHeight w:val="260"/>
        </w:trPr>
        <w:tc>
          <w:tcPr>
            <w:tcW w:w="1890" w:type="dxa"/>
            <w:shd w:val="clear" w:color="auto" w:fill="auto"/>
            <w:noWrap/>
            <w:vAlign w:val="bottom"/>
            <w:hideMark/>
          </w:tcPr>
          <w:p w:rsidR="00144816" w:rsidRPr="00144816" w:rsidRDefault="00144816" w:rsidP="005D28A2">
            <w:pPr>
              <w:pStyle w:val="TableText"/>
            </w:pPr>
            <w:r w:rsidRPr="00144816">
              <w:t>Sofen 2015 25913533 (U.S.)</w:t>
            </w:r>
          </w:p>
        </w:tc>
        <w:tc>
          <w:tcPr>
            <w:tcW w:w="1170" w:type="dxa"/>
            <w:shd w:val="clear" w:color="auto" w:fill="auto"/>
            <w:noWrap/>
            <w:hideMark/>
          </w:tcPr>
          <w:p w:rsidR="00144816" w:rsidRPr="00144816" w:rsidRDefault="00144816" w:rsidP="005D28A2">
            <w:pPr>
              <w:pStyle w:val="TableText"/>
            </w:pPr>
            <w:r w:rsidRPr="00144816">
              <w:t>Multicenter</w:t>
            </w:r>
          </w:p>
        </w:tc>
        <w:tc>
          <w:tcPr>
            <w:tcW w:w="1260" w:type="dxa"/>
            <w:shd w:val="clear" w:color="auto" w:fill="auto"/>
            <w:noWrap/>
            <w:hideMark/>
          </w:tcPr>
          <w:p w:rsidR="00144816" w:rsidRPr="00144816" w:rsidRDefault="00144816" w:rsidP="005D28A2">
            <w:pPr>
              <w:pStyle w:val="TableText"/>
            </w:pPr>
            <w:r w:rsidRPr="00144816">
              <w:t>Industry funded</w:t>
            </w:r>
          </w:p>
        </w:tc>
        <w:tc>
          <w:tcPr>
            <w:tcW w:w="1890" w:type="dxa"/>
            <w:shd w:val="clear" w:color="auto" w:fill="auto"/>
            <w:noWrap/>
            <w:hideMark/>
          </w:tcPr>
          <w:p w:rsidR="00144816" w:rsidRPr="00144816" w:rsidRDefault="00144816" w:rsidP="005D28A2">
            <w:pPr>
              <w:pStyle w:val="TableText"/>
            </w:pPr>
            <w:r w:rsidRPr="00144816">
              <w:t>&gt;=21 y/o, new, operable, biopsy-confirmed, nodular BCC and willing to delay excision</w:t>
            </w:r>
          </w:p>
        </w:tc>
        <w:tc>
          <w:tcPr>
            <w:tcW w:w="2589" w:type="dxa"/>
            <w:shd w:val="clear" w:color="auto" w:fill="auto"/>
            <w:noWrap/>
            <w:hideMark/>
          </w:tcPr>
          <w:p w:rsidR="00144816" w:rsidRPr="00144816" w:rsidRDefault="00144816" w:rsidP="005D28A2">
            <w:pPr>
              <w:pStyle w:val="TableText"/>
            </w:pPr>
          </w:p>
        </w:tc>
        <w:tc>
          <w:tcPr>
            <w:tcW w:w="1751" w:type="dxa"/>
            <w:shd w:val="clear" w:color="auto" w:fill="auto"/>
            <w:noWrap/>
            <w:vAlign w:val="bottom"/>
            <w:hideMark/>
          </w:tcPr>
          <w:p w:rsidR="00144816" w:rsidRPr="00144816" w:rsidRDefault="00144816" w:rsidP="005D28A2">
            <w:pPr>
              <w:pStyle w:val="TableText"/>
            </w:pPr>
            <w:r w:rsidRPr="00144816">
              <w:t>Biopsy/pathologic confirmed: biopsy-confirmed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vAlign w:val="bottom"/>
            <w:hideMark/>
          </w:tcPr>
          <w:p w:rsidR="00144816" w:rsidRPr="00144816" w:rsidRDefault="00144816" w:rsidP="005D28A2">
            <w:pPr>
              <w:pStyle w:val="TableText"/>
            </w:pPr>
            <w:r w:rsidRPr="00144816">
              <w:t>74/49</w:t>
            </w:r>
          </w:p>
        </w:tc>
      </w:tr>
      <w:tr w:rsidR="000115D5" w:rsidRPr="00144816" w:rsidTr="005D28A2">
        <w:trPr>
          <w:trHeight w:val="260"/>
        </w:trPr>
        <w:tc>
          <w:tcPr>
            <w:tcW w:w="1890" w:type="dxa"/>
            <w:shd w:val="clear" w:color="auto" w:fill="auto"/>
            <w:noWrap/>
            <w:hideMark/>
          </w:tcPr>
          <w:p w:rsidR="00144816" w:rsidRPr="00144816" w:rsidRDefault="00144816" w:rsidP="005D28A2">
            <w:pPr>
              <w:pStyle w:val="TableText"/>
            </w:pPr>
            <w:r w:rsidRPr="00144816">
              <w:t>Sullivan 2003 14725659 (US)</w:t>
            </w:r>
          </w:p>
        </w:tc>
        <w:tc>
          <w:tcPr>
            <w:tcW w:w="1170" w:type="dxa"/>
            <w:shd w:val="clear" w:color="auto" w:fill="auto"/>
            <w:noWrap/>
            <w:hideMark/>
          </w:tcPr>
          <w:p w:rsidR="00144816" w:rsidRPr="00144816" w:rsidRDefault="00144816" w:rsidP="005D28A2">
            <w:pPr>
              <w:pStyle w:val="TableText"/>
            </w:pPr>
            <w:r w:rsidRPr="00144816">
              <w:t>Single center</w:t>
            </w:r>
          </w:p>
        </w:tc>
        <w:tc>
          <w:tcPr>
            <w:tcW w:w="1260" w:type="dxa"/>
            <w:shd w:val="clear" w:color="auto" w:fill="auto"/>
            <w:noWrap/>
            <w:hideMark/>
          </w:tcPr>
          <w:p w:rsidR="00144816" w:rsidRPr="00144816" w:rsidRDefault="00144816" w:rsidP="005D28A2">
            <w:pPr>
              <w:pStyle w:val="TableText"/>
            </w:pPr>
            <w:r w:rsidRPr="00144816">
              <w:t>Not reported</w:t>
            </w:r>
          </w:p>
        </w:tc>
        <w:tc>
          <w:tcPr>
            <w:tcW w:w="1890" w:type="dxa"/>
            <w:shd w:val="clear" w:color="auto" w:fill="auto"/>
            <w:noWrap/>
            <w:hideMark/>
          </w:tcPr>
          <w:p w:rsidR="00144816" w:rsidRPr="00144816" w:rsidRDefault="00144816" w:rsidP="005D28A2">
            <w:pPr>
              <w:pStyle w:val="TableText"/>
            </w:pPr>
            <w:r w:rsidRPr="00144816">
              <w:t>biopsy confirmed superficial BCC, Ø 0.8-2.0 cm on the neck, trunk, or limbs.</w:t>
            </w:r>
          </w:p>
        </w:tc>
        <w:tc>
          <w:tcPr>
            <w:tcW w:w="2589" w:type="dxa"/>
            <w:shd w:val="clear" w:color="auto" w:fill="auto"/>
            <w:noWrap/>
            <w:hideMark/>
          </w:tcPr>
          <w:p w:rsidR="00144816" w:rsidRPr="00144816" w:rsidRDefault="00144816" w:rsidP="005D28A2">
            <w:pPr>
              <w:pStyle w:val="TableText"/>
            </w:pPr>
            <w:r w:rsidRPr="00144816">
              <w:t>recurrent or previously treated tumors or tumors located on the head</w:t>
            </w:r>
          </w:p>
        </w:tc>
        <w:tc>
          <w:tcPr>
            <w:tcW w:w="1751" w:type="dxa"/>
            <w:shd w:val="clear" w:color="auto" w:fill="auto"/>
            <w:noWrap/>
            <w:hideMark/>
          </w:tcPr>
          <w:p w:rsidR="00144816" w:rsidRPr="00144816" w:rsidRDefault="00144816" w:rsidP="005D28A2">
            <w:pPr>
              <w:pStyle w:val="TableText"/>
            </w:pPr>
            <w:r w:rsidRPr="00144816">
              <w:t>Biopsy/pathologic confirmed</w:t>
            </w:r>
          </w:p>
        </w:tc>
        <w:tc>
          <w:tcPr>
            <w:tcW w:w="1620" w:type="dxa"/>
            <w:shd w:val="clear" w:color="auto" w:fill="auto"/>
            <w:noWrap/>
            <w:hideMark/>
          </w:tcPr>
          <w:p w:rsidR="00144816" w:rsidRPr="00144816" w:rsidRDefault="00144816" w:rsidP="005D28A2">
            <w:pPr>
              <w:pStyle w:val="TableText"/>
            </w:pPr>
            <w:r w:rsidRPr="00144816">
              <w:t>Method of assessment not reported</w:t>
            </w:r>
          </w:p>
        </w:tc>
        <w:tc>
          <w:tcPr>
            <w:tcW w:w="1510" w:type="dxa"/>
            <w:shd w:val="clear" w:color="auto" w:fill="auto"/>
            <w:noWrap/>
            <w:hideMark/>
          </w:tcPr>
          <w:p w:rsidR="00144816" w:rsidRPr="00144816" w:rsidRDefault="00144816" w:rsidP="005D28A2">
            <w:pPr>
              <w:pStyle w:val="TableText"/>
            </w:pPr>
            <w:r w:rsidRPr="00144816">
              <w:t>12/12</w:t>
            </w:r>
          </w:p>
        </w:tc>
      </w:tr>
      <w:tr w:rsidR="00490041" w:rsidRPr="00144816" w:rsidTr="005D28A2">
        <w:trPr>
          <w:trHeight w:val="260"/>
        </w:trPr>
        <w:tc>
          <w:tcPr>
            <w:tcW w:w="1890" w:type="dxa"/>
            <w:shd w:val="clear" w:color="auto" w:fill="auto"/>
            <w:noWrap/>
          </w:tcPr>
          <w:p w:rsidR="00490041" w:rsidRPr="00144816" w:rsidRDefault="00490041" w:rsidP="005D28A2">
            <w:pPr>
              <w:pStyle w:val="TableText"/>
            </w:pPr>
            <w:r w:rsidRPr="00490041">
              <w:t>Wilson 2012 22145798 (U.S.)</w:t>
            </w:r>
          </w:p>
        </w:tc>
        <w:tc>
          <w:tcPr>
            <w:tcW w:w="1170" w:type="dxa"/>
            <w:shd w:val="clear" w:color="auto" w:fill="auto"/>
            <w:noWrap/>
          </w:tcPr>
          <w:p w:rsidR="00490041" w:rsidRPr="00144816" w:rsidRDefault="00490041" w:rsidP="005D28A2">
            <w:pPr>
              <w:pStyle w:val="TableText"/>
            </w:pPr>
            <w:r>
              <w:t>Multicenter</w:t>
            </w:r>
          </w:p>
        </w:tc>
        <w:tc>
          <w:tcPr>
            <w:tcW w:w="1260" w:type="dxa"/>
            <w:shd w:val="clear" w:color="auto" w:fill="auto"/>
            <w:noWrap/>
          </w:tcPr>
          <w:p w:rsidR="00490041" w:rsidRPr="00144816" w:rsidRDefault="00490041" w:rsidP="005D28A2">
            <w:pPr>
              <w:pStyle w:val="TableText"/>
            </w:pPr>
            <w:r>
              <w:t>No industry support</w:t>
            </w:r>
          </w:p>
        </w:tc>
        <w:tc>
          <w:tcPr>
            <w:tcW w:w="1890" w:type="dxa"/>
            <w:shd w:val="clear" w:color="auto" w:fill="auto"/>
            <w:noWrap/>
          </w:tcPr>
          <w:p w:rsidR="00490041" w:rsidRPr="00144816" w:rsidRDefault="00490041" w:rsidP="005D28A2">
            <w:pPr>
              <w:pStyle w:val="TableText"/>
            </w:pPr>
            <w:r w:rsidRPr="00490041">
              <w:t>NMSCs identified by daily review of pathology records and defined according to final histopathologic diagnosis of BCC or SCC.</w:t>
            </w:r>
          </w:p>
        </w:tc>
        <w:tc>
          <w:tcPr>
            <w:tcW w:w="2589" w:type="dxa"/>
            <w:shd w:val="clear" w:color="auto" w:fill="auto"/>
            <w:noWrap/>
          </w:tcPr>
          <w:p w:rsidR="00490041" w:rsidRPr="00144816" w:rsidRDefault="00490041" w:rsidP="005D28A2">
            <w:pPr>
              <w:pStyle w:val="TableText"/>
            </w:pPr>
            <w:r w:rsidRPr="00490041">
              <w:t>No "recurrent" or "possibly recurrent" skin cancers</w:t>
            </w:r>
          </w:p>
        </w:tc>
        <w:tc>
          <w:tcPr>
            <w:tcW w:w="1751" w:type="dxa"/>
            <w:shd w:val="clear" w:color="auto" w:fill="auto"/>
            <w:noWrap/>
          </w:tcPr>
          <w:p w:rsidR="00490041" w:rsidRPr="00144816" w:rsidRDefault="00490041" w:rsidP="005D28A2">
            <w:pPr>
              <w:pStyle w:val="TableText"/>
            </w:pPr>
            <w:r w:rsidRPr="00144816">
              <w:t>Biopsy/pathologic confirmed</w:t>
            </w:r>
          </w:p>
        </w:tc>
        <w:tc>
          <w:tcPr>
            <w:tcW w:w="1620" w:type="dxa"/>
            <w:shd w:val="clear" w:color="auto" w:fill="auto"/>
            <w:noWrap/>
          </w:tcPr>
          <w:p w:rsidR="00490041" w:rsidRPr="00144816" w:rsidRDefault="00490041" w:rsidP="005D28A2">
            <w:pPr>
              <w:pStyle w:val="TableText"/>
            </w:pPr>
            <w:r w:rsidRPr="00144816">
              <w:t>Method of assessment not reported</w:t>
            </w:r>
          </w:p>
        </w:tc>
        <w:tc>
          <w:tcPr>
            <w:tcW w:w="1510" w:type="dxa"/>
            <w:shd w:val="clear" w:color="auto" w:fill="auto"/>
            <w:noWrap/>
          </w:tcPr>
          <w:p w:rsidR="00490041" w:rsidRPr="00144816" w:rsidRDefault="00490041" w:rsidP="005D28A2">
            <w:pPr>
              <w:pStyle w:val="TableText"/>
            </w:pPr>
            <w:r>
              <w:t>1777/1777</w:t>
            </w:r>
          </w:p>
        </w:tc>
      </w:tr>
    </w:tbl>
    <w:p w:rsidR="005755CC" w:rsidRDefault="005755CC" w:rsidP="005755CC">
      <w:pPr>
        <w:pStyle w:val="TableNote"/>
      </w:pPr>
      <w:r w:rsidRPr="005755CC">
        <w:t>*y/o = years old; w/ = with, Ø = diameter; LE = life expectancy; tx = treatment; mo = month; rt = radiation therapy</w:t>
      </w:r>
    </w:p>
    <w:sectPr w:rsidR="005755CC" w:rsidSect="00B81D91">
      <w:footerReference w:type="default" r:id="rId8"/>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C1" w:rsidRDefault="005D4CC1">
      <w:r>
        <w:separator/>
      </w:r>
    </w:p>
  </w:endnote>
  <w:endnote w:type="continuationSeparator" w:id="0">
    <w:p w:rsidR="005D4CC1" w:rsidRDefault="005D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Arial Bold">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1B" w:rsidRDefault="007403F1">
    <w:pPr>
      <w:pStyle w:val="PageNumber"/>
    </w:pPr>
    <w:r>
      <w:t>C</w:t>
    </w:r>
    <w:r w:rsidR="009D1B1B">
      <w:t>-</w:t>
    </w:r>
    <w:r w:rsidR="0001522E">
      <w:fldChar w:fldCharType="begin"/>
    </w:r>
    <w:r w:rsidR="009D1B1B">
      <w:instrText xml:space="preserve"> PAGE   \* MERGEFORMAT </w:instrText>
    </w:r>
    <w:r w:rsidR="0001522E">
      <w:fldChar w:fldCharType="separate"/>
    </w:r>
    <w:r w:rsidR="008E500B">
      <w:rPr>
        <w:noProof/>
      </w:rPr>
      <w:t>16</w:t>
    </w:r>
    <w:r w:rsidR="0001522E">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C1" w:rsidRDefault="005D4CC1">
      <w:r>
        <w:separator/>
      </w:r>
    </w:p>
  </w:footnote>
  <w:footnote w:type="continuationSeparator" w:id="0">
    <w:p w:rsidR="005D4CC1" w:rsidRDefault="005D4C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7821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2012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D21A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7A43F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9403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D8C7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800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EEF9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861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706A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F75164"/>
    <w:multiLevelType w:val="hybridMultilevel"/>
    <w:tmpl w:val="F51CD352"/>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4424C"/>
    <w:multiLevelType w:val="hybridMultilevel"/>
    <w:tmpl w:val="CCF8DE2A"/>
    <w:lvl w:ilvl="0" w:tplc="C372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01687C"/>
    <w:multiLevelType w:val="hybridMultilevel"/>
    <w:tmpl w:val="1074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6"/>
  </w:num>
  <w:num w:numId="4">
    <w:abstractNumId w:val="11"/>
  </w:num>
  <w:num w:numId="5">
    <w:abstractNumId w:val="13"/>
  </w:num>
  <w:num w:numId="6">
    <w:abstractNumId w:val="15"/>
  </w:num>
  <w:num w:numId="7">
    <w:abstractNumId w:val="19"/>
  </w:num>
  <w:num w:numId="8">
    <w:abstractNumId w:val="18"/>
  </w:num>
  <w:num w:numId="9">
    <w:abstractNumId w:val="14"/>
  </w:num>
  <w:num w:numId="10">
    <w:abstractNumId w:val="12"/>
  </w:num>
  <w:num w:numId="11">
    <w:abstractNumId w:val="21"/>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6F5130"/>
    <w:rsid w:val="00003CDD"/>
    <w:rsid w:val="000051DA"/>
    <w:rsid w:val="00006790"/>
    <w:rsid w:val="00006C1A"/>
    <w:rsid w:val="000115D5"/>
    <w:rsid w:val="00011CC8"/>
    <w:rsid w:val="0001522E"/>
    <w:rsid w:val="00026294"/>
    <w:rsid w:val="0003337C"/>
    <w:rsid w:val="000416F1"/>
    <w:rsid w:val="000419BB"/>
    <w:rsid w:val="00044034"/>
    <w:rsid w:val="000531D5"/>
    <w:rsid w:val="00053C33"/>
    <w:rsid w:val="0006017D"/>
    <w:rsid w:val="00075AAB"/>
    <w:rsid w:val="00075F59"/>
    <w:rsid w:val="00080D51"/>
    <w:rsid w:val="00081848"/>
    <w:rsid w:val="00082D90"/>
    <w:rsid w:val="000844D9"/>
    <w:rsid w:val="000850F6"/>
    <w:rsid w:val="00087C77"/>
    <w:rsid w:val="0009453F"/>
    <w:rsid w:val="00094ED6"/>
    <w:rsid w:val="00096941"/>
    <w:rsid w:val="000A2D04"/>
    <w:rsid w:val="000B24E2"/>
    <w:rsid w:val="000C18BE"/>
    <w:rsid w:val="000C69F8"/>
    <w:rsid w:val="000D54CA"/>
    <w:rsid w:val="000D5A64"/>
    <w:rsid w:val="000E104E"/>
    <w:rsid w:val="000F7E18"/>
    <w:rsid w:val="001144BD"/>
    <w:rsid w:val="00115A89"/>
    <w:rsid w:val="00120920"/>
    <w:rsid w:val="00121273"/>
    <w:rsid w:val="001247EF"/>
    <w:rsid w:val="00132B29"/>
    <w:rsid w:val="00143679"/>
    <w:rsid w:val="00144816"/>
    <w:rsid w:val="001506C7"/>
    <w:rsid w:val="00153B48"/>
    <w:rsid w:val="001571FB"/>
    <w:rsid w:val="00160147"/>
    <w:rsid w:val="0016619E"/>
    <w:rsid w:val="00167198"/>
    <w:rsid w:val="00167D3F"/>
    <w:rsid w:val="001745C4"/>
    <w:rsid w:val="00175BD9"/>
    <w:rsid w:val="0017667A"/>
    <w:rsid w:val="001941FC"/>
    <w:rsid w:val="001A624D"/>
    <w:rsid w:val="001C07DF"/>
    <w:rsid w:val="001C3CE2"/>
    <w:rsid w:val="001C4886"/>
    <w:rsid w:val="001D0E7F"/>
    <w:rsid w:val="001D22F6"/>
    <w:rsid w:val="001E0819"/>
    <w:rsid w:val="001E6D3A"/>
    <w:rsid w:val="001F00D7"/>
    <w:rsid w:val="001F17DC"/>
    <w:rsid w:val="001F36A4"/>
    <w:rsid w:val="001F5D30"/>
    <w:rsid w:val="00201F4B"/>
    <w:rsid w:val="002058EF"/>
    <w:rsid w:val="00205EF3"/>
    <w:rsid w:val="00213A30"/>
    <w:rsid w:val="00213D0B"/>
    <w:rsid w:val="00217B4E"/>
    <w:rsid w:val="002217BC"/>
    <w:rsid w:val="00225E93"/>
    <w:rsid w:val="00233905"/>
    <w:rsid w:val="00234564"/>
    <w:rsid w:val="00234F65"/>
    <w:rsid w:val="0024184D"/>
    <w:rsid w:val="002437B1"/>
    <w:rsid w:val="002524ED"/>
    <w:rsid w:val="0026289B"/>
    <w:rsid w:val="00263CC8"/>
    <w:rsid w:val="0026461F"/>
    <w:rsid w:val="00275260"/>
    <w:rsid w:val="00276237"/>
    <w:rsid w:val="002844D3"/>
    <w:rsid w:val="002930EC"/>
    <w:rsid w:val="002965E1"/>
    <w:rsid w:val="002A09F0"/>
    <w:rsid w:val="002A3B18"/>
    <w:rsid w:val="002A6DE6"/>
    <w:rsid w:val="002A7892"/>
    <w:rsid w:val="002A7A3B"/>
    <w:rsid w:val="002C3334"/>
    <w:rsid w:val="002D3D04"/>
    <w:rsid w:val="002D47D7"/>
    <w:rsid w:val="002D7A10"/>
    <w:rsid w:val="002E24D3"/>
    <w:rsid w:val="002E707A"/>
    <w:rsid w:val="002F3C11"/>
    <w:rsid w:val="002F4991"/>
    <w:rsid w:val="003130DE"/>
    <w:rsid w:val="00314727"/>
    <w:rsid w:val="00324314"/>
    <w:rsid w:val="00330C2A"/>
    <w:rsid w:val="003319F4"/>
    <w:rsid w:val="00334953"/>
    <w:rsid w:val="00337FE0"/>
    <w:rsid w:val="003449CE"/>
    <w:rsid w:val="00345E7F"/>
    <w:rsid w:val="0036230F"/>
    <w:rsid w:val="003662AB"/>
    <w:rsid w:val="00370668"/>
    <w:rsid w:val="00374B73"/>
    <w:rsid w:val="00391420"/>
    <w:rsid w:val="00395C85"/>
    <w:rsid w:val="00396601"/>
    <w:rsid w:val="003A34DB"/>
    <w:rsid w:val="003B6C32"/>
    <w:rsid w:val="003B7711"/>
    <w:rsid w:val="003D2B4F"/>
    <w:rsid w:val="003D4973"/>
    <w:rsid w:val="003E0A58"/>
    <w:rsid w:val="003E36FD"/>
    <w:rsid w:val="003E4CCA"/>
    <w:rsid w:val="003F21BA"/>
    <w:rsid w:val="003F3E4D"/>
    <w:rsid w:val="003F5609"/>
    <w:rsid w:val="0040239E"/>
    <w:rsid w:val="00403A31"/>
    <w:rsid w:val="004041A8"/>
    <w:rsid w:val="00404F1F"/>
    <w:rsid w:val="00407ECC"/>
    <w:rsid w:val="004213FD"/>
    <w:rsid w:val="00423BD2"/>
    <w:rsid w:val="00433195"/>
    <w:rsid w:val="004341E8"/>
    <w:rsid w:val="00443C7F"/>
    <w:rsid w:val="004552ED"/>
    <w:rsid w:val="00464BAE"/>
    <w:rsid w:val="00465C86"/>
    <w:rsid w:val="004663CC"/>
    <w:rsid w:val="004704E1"/>
    <w:rsid w:val="00477020"/>
    <w:rsid w:val="00490041"/>
    <w:rsid w:val="004A3362"/>
    <w:rsid w:val="004C08C6"/>
    <w:rsid w:val="004C0E29"/>
    <w:rsid w:val="004C587E"/>
    <w:rsid w:val="004C7DB6"/>
    <w:rsid w:val="004D50AB"/>
    <w:rsid w:val="004E3C7A"/>
    <w:rsid w:val="004E3FEF"/>
    <w:rsid w:val="004E47FB"/>
    <w:rsid w:val="00506905"/>
    <w:rsid w:val="00512B50"/>
    <w:rsid w:val="00512E9C"/>
    <w:rsid w:val="00523B49"/>
    <w:rsid w:val="00524C81"/>
    <w:rsid w:val="00525267"/>
    <w:rsid w:val="00526639"/>
    <w:rsid w:val="005316D2"/>
    <w:rsid w:val="00533524"/>
    <w:rsid w:val="005430D5"/>
    <w:rsid w:val="0054535E"/>
    <w:rsid w:val="00560562"/>
    <w:rsid w:val="005709C8"/>
    <w:rsid w:val="00571D14"/>
    <w:rsid w:val="005755CC"/>
    <w:rsid w:val="005845F1"/>
    <w:rsid w:val="005957E5"/>
    <w:rsid w:val="005A3844"/>
    <w:rsid w:val="005A4688"/>
    <w:rsid w:val="005A5A18"/>
    <w:rsid w:val="005B057E"/>
    <w:rsid w:val="005B1BE6"/>
    <w:rsid w:val="005B3396"/>
    <w:rsid w:val="005B3F29"/>
    <w:rsid w:val="005B68E6"/>
    <w:rsid w:val="005C5144"/>
    <w:rsid w:val="005D28A2"/>
    <w:rsid w:val="005D4CC1"/>
    <w:rsid w:val="005E6717"/>
    <w:rsid w:val="005E6AD0"/>
    <w:rsid w:val="005F5FB4"/>
    <w:rsid w:val="005F6688"/>
    <w:rsid w:val="00621A5F"/>
    <w:rsid w:val="00622558"/>
    <w:rsid w:val="006236FA"/>
    <w:rsid w:val="00623B30"/>
    <w:rsid w:val="00634C1C"/>
    <w:rsid w:val="00644A62"/>
    <w:rsid w:val="006500EF"/>
    <w:rsid w:val="00656B83"/>
    <w:rsid w:val="006722E4"/>
    <w:rsid w:val="00673C10"/>
    <w:rsid w:val="00680D98"/>
    <w:rsid w:val="00690F63"/>
    <w:rsid w:val="00693BD6"/>
    <w:rsid w:val="00693E74"/>
    <w:rsid w:val="006B61B0"/>
    <w:rsid w:val="006C2A1D"/>
    <w:rsid w:val="006D3E3F"/>
    <w:rsid w:val="006E34E6"/>
    <w:rsid w:val="006E4D5E"/>
    <w:rsid w:val="006E5BAE"/>
    <w:rsid w:val="006F3404"/>
    <w:rsid w:val="006F5130"/>
    <w:rsid w:val="00700396"/>
    <w:rsid w:val="007039B4"/>
    <w:rsid w:val="007210E2"/>
    <w:rsid w:val="00731B63"/>
    <w:rsid w:val="00736817"/>
    <w:rsid w:val="007403F1"/>
    <w:rsid w:val="00746B2B"/>
    <w:rsid w:val="007507DD"/>
    <w:rsid w:val="007517D0"/>
    <w:rsid w:val="0076430F"/>
    <w:rsid w:val="007674B3"/>
    <w:rsid w:val="0078079D"/>
    <w:rsid w:val="00790F13"/>
    <w:rsid w:val="00796EE4"/>
    <w:rsid w:val="007A4366"/>
    <w:rsid w:val="007A616B"/>
    <w:rsid w:val="007B3406"/>
    <w:rsid w:val="007C092D"/>
    <w:rsid w:val="007C24F5"/>
    <w:rsid w:val="007C538F"/>
    <w:rsid w:val="007C65B8"/>
    <w:rsid w:val="007D0404"/>
    <w:rsid w:val="007D5D14"/>
    <w:rsid w:val="007E31F3"/>
    <w:rsid w:val="007E335E"/>
    <w:rsid w:val="00800542"/>
    <w:rsid w:val="0080457C"/>
    <w:rsid w:val="00805B40"/>
    <w:rsid w:val="008073AF"/>
    <w:rsid w:val="0082352D"/>
    <w:rsid w:val="00830B8C"/>
    <w:rsid w:val="00832E69"/>
    <w:rsid w:val="0084016A"/>
    <w:rsid w:val="00854320"/>
    <w:rsid w:val="00856107"/>
    <w:rsid w:val="00857F0A"/>
    <w:rsid w:val="0087420D"/>
    <w:rsid w:val="008838C8"/>
    <w:rsid w:val="00890305"/>
    <w:rsid w:val="00895586"/>
    <w:rsid w:val="00895F5A"/>
    <w:rsid w:val="008A07F1"/>
    <w:rsid w:val="008B05A9"/>
    <w:rsid w:val="008B1959"/>
    <w:rsid w:val="008C6529"/>
    <w:rsid w:val="008C73CD"/>
    <w:rsid w:val="008D1F6A"/>
    <w:rsid w:val="008D2A01"/>
    <w:rsid w:val="008D2EF3"/>
    <w:rsid w:val="008E500B"/>
    <w:rsid w:val="008F0C3C"/>
    <w:rsid w:val="008F0E65"/>
    <w:rsid w:val="008F2E49"/>
    <w:rsid w:val="008F5D0C"/>
    <w:rsid w:val="008F6D96"/>
    <w:rsid w:val="00922827"/>
    <w:rsid w:val="0092458D"/>
    <w:rsid w:val="009262E9"/>
    <w:rsid w:val="0092648D"/>
    <w:rsid w:val="00933864"/>
    <w:rsid w:val="00936CCD"/>
    <w:rsid w:val="009679E9"/>
    <w:rsid w:val="00971952"/>
    <w:rsid w:val="00980B4C"/>
    <w:rsid w:val="00984B55"/>
    <w:rsid w:val="009856D8"/>
    <w:rsid w:val="00990A63"/>
    <w:rsid w:val="0099482F"/>
    <w:rsid w:val="009A22F6"/>
    <w:rsid w:val="009A3C86"/>
    <w:rsid w:val="009B5F1B"/>
    <w:rsid w:val="009B7F8D"/>
    <w:rsid w:val="009C2DB7"/>
    <w:rsid w:val="009C39D5"/>
    <w:rsid w:val="009C68EE"/>
    <w:rsid w:val="009D1B1B"/>
    <w:rsid w:val="009D4AEE"/>
    <w:rsid w:val="009E16D9"/>
    <w:rsid w:val="009E4394"/>
    <w:rsid w:val="009E5CD4"/>
    <w:rsid w:val="00A02034"/>
    <w:rsid w:val="00A03EF2"/>
    <w:rsid w:val="00A04E17"/>
    <w:rsid w:val="00A1089E"/>
    <w:rsid w:val="00A11079"/>
    <w:rsid w:val="00A128EC"/>
    <w:rsid w:val="00A25F11"/>
    <w:rsid w:val="00A31918"/>
    <w:rsid w:val="00A433AE"/>
    <w:rsid w:val="00A45609"/>
    <w:rsid w:val="00A546A1"/>
    <w:rsid w:val="00A54D5C"/>
    <w:rsid w:val="00A56FFB"/>
    <w:rsid w:val="00A614BB"/>
    <w:rsid w:val="00A61B44"/>
    <w:rsid w:val="00A64270"/>
    <w:rsid w:val="00A646B0"/>
    <w:rsid w:val="00A64A16"/>
    <w:rsid w:val="00A76077"/>
    <w:rsid w:val="00A77361"/>
    <w:rsid w:val="00A77D78"/>
    <w:rsid w:val="00A8137A"/>
    <w:rsid w:val="00A94D73"/>
    <w:rsid w:val="00A961D1"/>
    <w:rsid w:val="00AC22B8"/>
    <w:rsid w:val="00AC2AF5"/>
    <w:rsid w:val="00AD6697"/>
    <w:rsid w:val="00AE5A5B"/>
    <w:rsid w:val="00B038D0"/>
    <w:rsid w:val="00B0687F"/>
    <w:rsid w:val="00B078F5"/>
    <w:rsid w:val="00B07CFE"/>
    <w:rsid w:val="00B10D3D"/>
    <w:rsid w:val="00B12236"/>
    <w:rsid w:val="00B1317C"/>
    <w:rsid w:val="00B1503A"/>
    <w:rsid w:val="00B17797"/>
    <w:rsid w:val="00B2449B"/>
    <w:rsid w:val="00B349F2"/>
    <w:rsid w:val="00B34BEE"/>
    <w:rsid w:val="00B45348"/>
    <w:rsid w:val="00B54EF9"/>
    <w:rsid w:val="00B81D91"/>
    <w:rsid w:val="00B84D02"/>
    <w:rsid w:val="00BA48E1"/>
    <w:rsid w:val="00BA55F2"/>
    <w:rsid w:val="00BA6EAD"/>
    <w:rsid w:val="00BB6E86"/>
    <w:rsid w:val="00BC0004"/>
    <w:rsid w:val="00BC64D2"/>
    <w:rsid w:val="00BD14E9"/>
    <w:rsid w:val="00BD45A9"/>
    <w:rsid w:val="00BD5CDE"/>
    <w:rsid w:val="00BE3B14"/>
    <w:rsid w:val="00BF1127"/>
    <w:rsid w:val="00BF2A13"/>
    <w:rsid w:val="00BF5F0F"/>
    <w:rsid w:val="00C046C6"/>
    <w:rsid w:val="00C211F8"/>
    <w:rsid w:val="00C253BD"/>
    <w:rsid w:val="00C33733"/>
    <w:rsid w:val="00C538A7"/>
    <w:rsid w:val="00C620E0"/>
    <w:rsid w:val="00C66765"/>
    <w:rsid w:val="00C67B72"/>
    <w:rsid w:val="00C75AD6"/>
    <w:rsid w:val="00C85FCE"/>
    <w:rsid w:val="00C86AC8"/>
    <w:rsid w:val="00C95FA0"/>
    <w:rsid w:val="00C96400"/>
    <w:rsid w:val="00C97F61"/>
    <w:rsid w:val="00CA0EDB"/>
    <w:rsid w:val="00CA4C18"/>
    <w:rsid w:val="00CA53AD"/>
    <w:rsid w:val="00CA742B"/>
    <w:rsid w:val="00CB48D5"/>
    <w:rsid w:val="00CC2A52"/>
    <w:rsid w:val="00CC2A64"/>
    <w:rsid w:val="00CC486E"/>
    <w:rsid w:val="00CD4325"/>
    <w:rsid w:val="00CD561E"/>
    <w:rsid w:val="00CE23E3"/>
    <w:rsid w:val="00CF1F17"/>
    <w:rsid w:val="00CF2F0A"/>
    <w:rsid w:val="00D062F4"/>
    <w:rsid w:val="00D07349"/>
    <w:rsid w:val="00D10A6F"/>
    <w:rsid w:val="00D15DFE"/>
    <w:rsid w:val="00D3557A"/>
    <w:rsid w:val="00D4340F"/>
    <w:rsid w:val="00D47C4A"/>
    <w:rsid w:val="00D521C4"/>
    <w:rsid w:val="00D5494A"/>
    <w:rsid w:val="00D56E79"/>
    <w:rsid w:val="00D710F4"/>
    <w:rsid w:val="00D71C5E"/>
    <w:rsid w:val="00D77314"/>
    <w:rsid w:val="00D853F1"/>
    <w:rsid w:val="00D86A99"/>
    <w:rsid w:val="00D90B24"/>
    <w:rsid w:val="00D93203"/>
    <w:rsid w:val="00D9383E"/>
    <w:rsid w:val="00D97328"/>
    <w:rsid w:val="00DA0B96"/>
    <w:rsid w:val="00DB4517"/>
    <w:rsid w:val="00DC086C"/>
    <w:rsid w:val="00DC2450"/>
    <w:rsid w:val="00DC3975"/>
    <w:rsid w:val="00DC3AD7"/>
    <w:rsid w:val="00DD3873"/>
    <w:rsid w:val="00DE43B7"/>
    <w:rsid w:val="00DE6A30"/>
    <w:rsid w:val="00DF4517"/>
    <w:rsid w:val="00E07F17"/>
    <w:rsid w:val="00E10862"/>
    <w:rsid w:val="00E222F4"/>
    <w:rsid w:val="00E257A2"/>
    <w:rsid w:val="00E27823"/>
    <w:rsid w:val="00E3483E"/>
    <w:rsid w:val="00E41880"/>
    <w:rsid w:val="00E442E3"/>
    <w:rsid w:val="00E525A6"/>
    <w:rsid w:val="00E54004"/>
    <w:rsid w:val="00E56FA9"/>
    <w:rsid w:val="00E66FCD"/>
    <w:rsid w:val="00E7763C"/>
    <w:rsid w:val="00E86825"/>
    <w:rsid w:val="00E90885"/>
    <w:rsid w:val="00EA082A"/>
    <w:rsid w:val="00EA488E"/>
    <w:rsid w:val="00EA634A"/>
    <w:rsid w:val="00EB5922"/>
    <w:rsid w:val="00EB7075"/>
    <w:rsid w:val="00EC7496"/>
    <w:rsid w:val="00ED26DA"/>
    <w:rsid w:val="00ED7647"/>
    <w:rsid w:val="00EE1018"/>
    <w:rsid w:val="00EE311A"/>
    <w:rsid w:val="00EE4ACC"/>
    <w:rsid w:val="00EF754B"/>
    <w:rsid w:val="00F131A9"/>
    <w:rsid w:val="00F16462"/>
    <w:rsid w:val="00F22542"/>
    <w:rsid w:val="00F37CC3"/>
    <w:rsid w:val="00F414DC"/>
    <w:rsid w:val="00F4231C"/>
    <w:rsid w:val="00F46B31"/>
    <w:rsid w:val="00F504F9"/>
    <w:rsid w:val="00F50C61"/>
    <w:rsid w:val="00F56A6C"/>
    <w:rsid w:val="00F66D80"/>
    <w:rsid w:val="00F671D3"/>
    <w:rsid w:val="00F835E9"/>
    <w:rsid w:val="00F9258E"/>
    <w:rsid w:val="00FA0263"/>
    <w:rsid w:val="00FA307A"/>
    <w:rsid w:val="00FA789D"/>
    <w:rsid w:val="00FB34E3"/>
    <w:rsid w:val="00FB7B56"/>
    <w:rsid w:val="00FC1209"/>
    <w:rsid w:val="00FC1278"/>
    <w:rsid w:val="00FC5232"/>
    <w:rsid w:val="00FC621B"/>
    <w:rsid w:val="00FD28D2"/>
    <w:rsid w:val="00FE4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oNotEmbedSmartTags/>
  <w:decimalSymbol w:val="."/>
  <w:listSeparator w:val=","/>
  <w14:docId w14:val="74D4018A"/>
  <w15:docId w15:val="{8E25E1EB-A2E0-4AD8-AC52-FE5B6B6C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A58"/>
    <w:rPr>
      <w:rFonts w:ascii="Times New Roman" w:hAnsi="Times New Roman"/>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rsid w:val="00B24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44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44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44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44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44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449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44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80D51"/>
    <w:rPr>
      <w:rFonts w:ascii="Cambria" w:eastAsia="Times New Roman" w:hAnsi="Cambria"/>
      <w:b/>
      <w:bCs/>
      <w:kern w:val="32"/>
      <w:sz w:val="32"/>
      <w:szCs w:val="32"/>
    </w:rPr>
  </w:style>
  <w:style w:type="paragraph" w:customStyle="1" w:styleId="ParagraphIndent">
    <w:name w:val="ParagraphIndent"/>
    <w:link w:val="ParagraphIndentChar"/>
    <w:qFormat/>
    <w:rsid w:val="00EB7075"/>
    <w:pPr>
      <w:ind w:firstLine="360"/>
    </w:pPr>
    <w:rPr>
      <w:rFonts w:ascii="Times New Roman" w:hAnsi="Times New Roman"/>
      <w:color w:val="000000"/>
    </w:rPr>
  </w:style>
  <w:style w:type="character" w:customStyle="1" w:styleId="ParagraphIndentChar">
    <w:name w:val="ParagraphIndent Char"/>
    <w:basedOn w:val="DefaultParagraphFont"/>
    <w:link w:val="ParagraphIndent"/>
    <w:rsid w:val="00EB7075"/>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eastAsia="Times New Roman"/>
    </w:rPr>
  </w:style>
  <w:style w:type="paragraph" w:customStyle="1" w:styleId="PageNumber">
    <w:name w:val="PageNumber"/>
    <w:qFormat/>
    <w:rsid w:val="00D10A6F"/>
    <w:pPr>
      <w:jc w:val="center"/>
    </w:pPr>
    <w:rPr>
      <w:rFonts w:ascii="Times New Roman" w:hAnsi="Times New Roman"/>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szCs w:val="20"/>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semiHidden/>
    <w:rsid w:val="006C2A1D"/>
    <w:rPr>
      <w:rFonts w:eastAsia="Times New Roman"/>
      <w:lang w:val="en-CA"/>
    </w:rPr>
  </w:style>
  <w:style w:type="paragraph" w:styleId="TOC2">
    <w:name w:val="toc 2"/>
    <w:basedOn w:val="Normal"/>
    <w:next w:val="Normal"/>
    <w:autoRedefine/>
    <w:semiHidden/>
    <w:rsid w:val="006C2A1D"/>
    <w:pPr>
      <w:ind w:left="240"/>
    </w:pPr>
    <w:rPr>
      <w:rFonts w:eastAsia="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rPr>
  </w:style>
  <w:style w:type="paragraph" w:customStyle="1" w:styleId="Level1Heading">
    <w:name w:val="Level1Heading"/>
    <w:link w:val="Level1HeadingChar"/>
    <w:qFormat/>
    <w:rsid w:val="001745C4"/>
    <w:pPr>
      <w:keepNext/>
      <w:spacing w:before="240" w:after="60"/>
      <w:outlineLvl w:val="1"/>
    </w:pPr>
    <w:rPr>
      <w:rFonts w:ascii="Arial" w:eastAsia="Times New Roman" w:hAnsi="Arial"/>
      <w:b/>
      <w:bCs/>
      <w:sz w:val="32"/>
    </w:rPr>
  </w:style>
  <w:style w:type="character" w:customStyle="1" w:styleId="Level1HeadingChar">
    <w:name w:val="Level1Heading Char"/>
    <w:basedOn w:val="DefaultParagraphFont"/>
    <w:link w:val="Level1Heading"/>
    <w:rsid w:val="00EB7075"/>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B2449B"/>
    <w:pPr>
      <w:keepNext/>
      <w:spacing w:before="240"/>
    </w:pPr>
    <w:rPr>
      <w:rFonts w:ascii="Arial" w:hAnsi="Arial"/>
      <w:b/>
      <w:color w:val="000000"/>
      <w:sz w:val="20"/>
      <w:szCs w:val="20"/>
    </w:rPr>
  </w:style>
  <w:style w:type="paragraph" w:customStyle="1" w:styleId="TableNote">
    <w:name w:val="TableNote"/>
    <w:qFormat/>
    <w:rsid w:val="005F5FB4"/>
    <w:pPr>
      <w:spacing w:after="240"/>
    </w:pPr>
    <w:rPr>
      <w:rFonts w:ascii="Times New Roman" w:eastAsia="Times New Roman" w:hAnsi="Times New Roman"/>
      <w:bCs/>
      <w:sz w:val="18"/>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rPr>
  </w:style>
  <w:style w:type="paragraph" w:styleId="Header">
    <w:name w:val="header"/>
    <w:basedOn w:val="Normal"/>
    <w:link w:val="HeaderChar"/>
    <w:uiPriority w:val="99"/>
    <w:unhideWhenUsed/>
    <w:rsid w:val="006C2A1D"/>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rPr>
  </w:style>
  <w:style w:type="paragraph" w:customStyle="1" w:styleId="Level3Heading">
    <w:name w:val="Level3Heading"/>
    <w:qFormat/>
    <w:rsid w:val="001745C4"/>
    <w:pPr>
      <w:keepNext/>
      <w:spacing w:before="240"/>
      <w:outlineLvl w:val="3"/>
    </w:pPr>
    <w:rPr>
      <w:rFonts w:ascii="Arial" w:eastAsia="Times New Roman" w:hAnsi="Arial"/>
      <w:b/>
      <w:bCs/>
      <w:sz w:val="28"/>
    </w:rPr>
  </w:style>
  <w:style w:type="paragraph" w:styleId="BalloonText">
    <w:name w:val="Balloon Text"/>
    <w:basedOn w:val="Normal"/>
    <w:link w:val="BalloonTextChar"/>
    <w:uiPriority w:val="99"/>
    <w:semiHidden/>
    <w:unhideWhenUsed/>
    <w:rsid w:val="006C2A1D"/>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semiHidden/>
    <w:rsid w:val="006C2A1D"/>
    <w:rPr>
      <w:sz w:val="16"/>
      <w:szCs w:val="16"/>
    </w:rPr>
  </w:style>
  <w:style w:type="paragraph" w:styleId="CommentText">
    <w:name w:val="annotation text"/>
    <w:basedOn w:val="Normal"/>
    <w:link w:val="CommentTextChar"/>
    <w:semiHidden/>
    <w:rsid w:val="006C2A1D"/>
    <w:pPr>
      <w:spacing w:before="240" w:after="60"/>
    </w:pPr>
    <w:rPr>
      <w:rFonts w:ascii="Calibri" w:hAnsi="Calibri"/>
      <w:sz w:val="20"/>
    </w:rPr>
  </w:style>
  <w:style w:type="paragraph" w:styleId="CommentSubject">
    <w:name w:val="annotation subject"/>
    <w:basedOn w:val="CommentText"/>
    <w:next w:val="CommentText"/>
    <w:semiHidden/>
    <w:rsid w:val="006C2A1D"/>
    <w:rPr>
      <w:b/>
      <w:bCs/>
    </w:rPr>
  </w:style>
  <w:style w:type="paragraph" w:customStyle="1" w:styleId="PreparedForText">
    <w:name w:val="PreparedForText"/>
    <w:qFormat/>
    <w:rsid w:val="00C97F61"/>
    <w:rPr>
      <w:rFonts w:ascii="Times New Roman" w:eastAsia="Times New Roman" w:hAnsi="Times New Roman"/>
      <w:bCs/>
    </w:rPr>
  </w:style>
  <w:style w:type="paragraph" w:customStyle="1" w:styleId="ParagraphNoIndentBold">
    <w:name w:val="ParagraphNoIndentBold"/>
    <w:qFormat/>
    <w:rsid w:val="00B038D0"/>
    <w:rPr>
      <w:rFonts w:ascii="Times New Roman" w:eastAsia="Times New Roman" w:hAnsi="Times New Roman"/>
      <w:b/>
      <w:bCs/>
    </w:rPr>
  </w:style>
  <w:style w:type="paragraph" w:customStyle="1" w:styleId="ContractNumber">
    <w:name w:val="ContractNumber"/>
    <w:next w:val="ParagraphNoIndent"/>
    <w:qFormat/>
    <w:rsid w:val="00A77D78"/>
    <w:rPr>
      <w:rFonts w:ascii="Times New Roman" w:eastAsia="Times New Roman" w:hAnsi="Times New Roman"/>
      <w:b/>
      <w:bCs/>
    </w:rPr>
  </w:style>
  <w:style w:type="paragraph" w:customStyle="1" w:styleId="PreparedByText">
    <w:name w:val="PreparedByText"/>
    <w:qFormat/>
    <w:rsid w:val="00BD14E9"/>
    <w:rPr>
      <w:rFonts w:ascii="Times New Roman" w:eastAsia="Times New Roman" w:hAnsi="Times New Roman"/>
      <w:bCs/>
    </w:rPr>
  </w:style>
  <w:style w:type="paragraph" w:customStyle="1" w:styleId="Investigators">
    <w:name w:val="Investigators"/>
    <w:qFormat/>
    <w:rsid w:val="00345E7F"/>
    <w:rPr>
      <w:rFonts w:ascii="Times New Roman" w:eastAsia="Times New Roman" w:hAnsi="Times New Roman"/>
      <w:bCs/>
    </w:rPr>
  </w:style>
  <w:style w:type="paragraph" w:customStyle="1" w:styleId="PublicationNumberDate">
    <w:name w:val="PublicationNumberDate"/>
    <w:qFormat/>
    <w:rsid w:val="00C97F61"/>
    <w:rPr>
      <w:rFonts w:ascii="Times New Roman" w:eastAsia="Times New Roman" w:hAnsi="Times New Roman"/>
      <w:b/>
      <w:bCs/>
    </w:rPr>
  </w:style>
  <w:style w:type="paragraph" w:customStyle="1" w:styleId="SuggestedCitation">
    <w:name w:val="SuggestedCitation"/>
    <w:qFormat/>
    <w:rsid w:val="00BD14E9"/>
    <w:rPr>
      <w:rFonts w:ascii="Times New Roman" w:eastAsia="Times New Roman" w:hAnsi="Times New Roman"/>
      <w:bCs/>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rPr>
  </w:style>
  <w:style w:type="paragraph" w:customStyle="1" w:styleId="TableColumnHead">
    <w:name w:val="TableColumnHead"/>
    <w:qFormat/>
    <w:rsid w:val="000531D5"/>
    <w:rPr>
      <w:rFonts w:ascii="Arial" w:hAnsi="Arial" w:cs="Arial"/>
      <w:b/>
      <w:bCs/>
      <w:sz w:val="20"/>
      <w:szCs w:val="20"/>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rPr>
  </w:style>
  <w:style w:type="paragraph" w:customStyle="1" w:styleId="Level7Heading">
    <w:name w:val="Level7Heading"/>
    <w:qFormat/>
    <w:rsid w:val="00345E7F"/>
    <w:pPr>
      <w:keepNext/>
    </w:pPr>
    <w:rPr>
      <w:rFonts w:ascii="Times New Roman" w:hAnsi="Times New Roman"/>
      <w:b/>
      <w:color w:val="000000"/>
    </w:rPr>
  </w:style>
  <w:style w:type="paragraph" w:customStyle="1" w:styleId="Level8Heading">
    <w:name w:val="Level8Heading"/>
    <w:qFormat/>
    <w:rsid w:val="00345E7F"/>
    <w:pPr>
      <w:keepNext/>
    </w:pPr>
    <w:rPr>
      <w:rFonts w:ascii="Times New Roman" w:eastAsia="Times New Roman" w:hAnsi="Times New Roman"/>
      <w:bCs/>
      <w:i/>
    </w:rPr>
  </w:style>
  <w:style w:type="paragraph" w:customStyle="1" w:styleId="Bullet1">
    <w:name w:val="Bullet1"/>
    <w:qFormat/>
    <w:rsid w:val="004E3C7A"/>
    <w:pPr>
      <w:numPr>
        <w:numId w:val="3"/>
      </w:numPr>
    </w:pPr>
    <w:rPr>
      <w:rFonts w:ascii="Times New Roman" w:eastAsia="Times New Roman" w:hAnsi="Times New Roman"/>
      <w:bCs/>
    </w:rPr>
  </w:style>
  <w:style w:type="paragraph" w:customStyle="1" w:styleId="Bullet2">
    <w:name w:val="Bullet2"/>
    <w:qFormat/>
    <w:rsid w:val="00B038D0"/>
    <w:pPr>
      <w:numPr>
        <w:ilvl w:val="1"/>
        <w:numId w:val="3"/>
      </w:numPr>
      <w:ind w:left="1080"/>
    </w:pPr>
    <w:rPr>
      <w:rFonts w:ascii="Times New Roman" w:eastAsia="Times New Roman" w:hAnsi="Times New Roman"/>
      <w:bCs/>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rPr>
  </w:style>
  <w:style w:type="paragraph" w:customStyle="1" w:styleId="FrontMatterSubhead">
    <w:name w:val="FrontMatterSubhead"/>
    <w:qFormat/>
    <w:rsid w:val="009C39D5"/>
    <w:pPr>
      <w:keepNext/>
      <w:spacing w:before="120"/>
    </w:pPr>
    <w:rPr>
      <w:rFonts w:ascii="Arial" w:hAnsi="Arial" w:cs="Arial"/>
      <w:b/>
      <w:szCs w:val="32"/>
    </w:rPr>
  </w:style>
  <w:style w:type="paragraph" w:styleId="Footer">
    <w:name w:val="footer"/>
    <w:basedOn w:val="Normal"/>
    <w:link w:val="FooterChar"/>
    <w:uiPriority w:val="99"/>
    <w:unhideWhenUsed/>
    <w:rsid w:val="00D97328"/>
    <w:pPr>
      <w:tabs>
        <w:tab w:val="center" w:pos="4680"/>
        <w:tab w:val="right" w:pos="9360"/>
      </w:tabs>
    </w:pPr>
    <w:rPr>
      <w:rFonts w:ascii="Times" w:eastAsia="Times New Roman" w:hAnsi="Times"/>
    </w:r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paragraph" w:customStyle="1" w:styleId="text">
    <w:name w:val="text"/>
    <w:rsid w:val="00800542"/>
    <w:pPr>
      <w:spacing w:before="120"/>
      <w:ind w:firstLine="720"/>
    </w:pPr>
    <w:rPr>
      <w:rFonts w:ascii="Arial" w:eastAsia="ヒラギノ角ゴ Pro W3" w:hAnsi="Arial"/>
      <w:color w:val="000000"/>
    </w:rPr>
  </w:style>
  <w:style w:type="paragraph" w:customStyle="1" w:styleId="NOTE">
    <w:name w:val="NOTE:"/>
    <w:basedOn w:val="Normal"/>
    <w:rsid w:val="003B6C32"/>
    <w:pPr>
      <w:shd w:val="clear" w:color="auto" w:fill="FFFFFF"/>
      <w:spacing w:after="240"/>
      <w:ind w:left="720" w:hanging="720"/>
    </w:pPr>
    <w:rPr>
      <w:rFonts w:eastAsia="Times New Roman"/>
      <w:bCs/>
      <w:i/>
      <w:color w:val="FF0000"/>
      <w:sz w:val="22"/>
    </w:rPr>
  </w:style>
  <w:style w:type="paragraph" w:customStyle="1" w:styleId="FigureTitle">
    <w:name w:val="FigureTitle"/>
    <w:basedOn w:val="Normal"/>
    <w:qFormat/>
    <w:rsid w:val="003B6C32"/>
    <w:pPr>
      <w:keepNext/>
      <w:widowControl w:val="0"/>
      <w:spacing w:before="240"/>
    </w:pPr>
    <w:rPr>
      <w:rFonts w:ascii="Arial" w:eastAsiaTheme="minorEastAsia" w:hAnsi="Arial"/>
      <w:b/>
      <w:color w:val="000000"/>
      <w:kern w:val="2"/>
      <w:sz w:val="20"/>
      <w:lang w:eastAsia="zh-CN"/>
    </w:rPr>
  </w:style>
  <w:style w:type="paragraph" w:customStyle="1" w:styleId="shadedheader">
    <w:name w:val="shaded header"/>
    <w:link w:val="shadedheaderChar"/>
    <w:rsid w:val="00EB7075"/>
    <w:pPr>
      <w:keepNext/>
      <w:shd w:val="clear" w:color="auto" w:fill="FFE8B4"/>
      <w:spacing w:before="103"/>
    </w:pPr>
    <w:rPr>
      <w:rFonts w:ascii="Arial Bold" w:eastAsia="ヒラギノ角ゴ Pro W3" w:hAnsi="Arial Bold"/>
      <w:color w:val="000000"/>
    </w:rPr>
  </w:style>
  <w:style w:type="character" w:customStyle="1" w:styleId="shadedheaderChar">
    <w:name w:val="shaded header Char"/>
    <w:basedOn w:val="DefaultParagraphFont"/>
    <w:link w:val="shadedheader"/>
    <w:rsid w:val="00EB7075"/>
    <w:rPr>
      <w:rFonts w:ascii="Arial Bold" w:eastAsia="ヒラギノ角ゴ Pro W3" w:hAnsi="Arial Bold"/>
      <w:color w:val="000000"/>
      <w:shd w:val="clear" w:color="auto" w:fill="FFE8B4"/>
    </w:rPr>
  </w:style>
  <w:style w:type="paragraph" w:customStyle="1" w:styleId="indentedbullets">
    <w:name w:val="indented bullets"/>
    <w:basedOn w:val="Normal"/>
    <w:link w:val="indentedbulletsChar"/>
    <w:rsid w:val="00EB7075"/>
    <w:pPr>
      <w:numPr>
        <w:numId w:val="9"/>
      </w:numPr>
      <w:shd w:val="clear" w:color="auto" w:fill="FFFFFF"/>
      <w:spacing w:line="360" w:lineRule="atLeast"/>
    </w:pPr>
    <w:rPr>
      <w:rFonts w:ascii="Arial" w:eastAsia="Times New Roman" w:hAnsi="Arial"/>
      <w:sz w:val="19"/>
    </w:rPr>
  </w:style>
  <w:style w:type="character" w:customStyle="1" w:styleId="indentedbulletsChar">
    <w:name w:val="indented bullets Char"/>
    <w:basedOn w:val="DefaultParagraphFont"/>
    <w:link w:val="indentedbullets"/>
    <w:rsid w:val="00EB7075"/>
    <w:rPr>
      <w:rFonts w:ascii="Arial" w:eastAsia="Times New Roman" w:hAnsi="Arial"/>
      <w:sz w:val="19"/>
      <w:shd w:val="clear" w:color="auto" w:fill="FFFFFF"/>
    </w:rPr>
  </w:style>
  <w:style w:type="paragraph" w:styleId="ListParagraph">
    <w:name w:val="List Paragraph"/>
    <w:basedOn w:val="Normal"/>
    <w:uiPriority w:val="34"/>
    <w:qFormat/>
    <w:rsid w:val="00EB7075"/>
    <w:pPr>
      <w:ind w:left="720"/>
      <w:contextualSpacing/>
    </w:pPr>
    <w:rPr>
      <w:rFonts w:eastAsia="Times New Roman"/>
    </w:rPr>
  </w:style>
  <w:style w:type="paragraph" w:customStyle="1" w:styleId="instructionsbullets">
    <w:name w:val="instructions bullets"/>
    <w:basedOn w:val="Normal"/>
    <w:rsid w:val="00EB7075"/>
    <w:pPr>
      <w:numPr>
        <w:numId w:val="10"/>
      </w:numPr>
      <w:shd w:val="clear" w:color="auto" w:fill="FFFFFF"/>
      <w:spacing w:before="120" w:after="120"/>
      <w:ind w:left="770"/>
      <w:contextualSpacing/>
    </w:pPr>
    <w:rPr>
      <w:rFonts w:ascii="Arial" w:eastAsia="Times New Roman" w:hAnsi="Arial" w:cs="Arial"/>
      <w:sz w:val="20"/>
      <w:szCs w:val="22"/>
    </w:rPr>
  </w:style>
  <w:style w:type="character" w:styleId="PageNumber0">
    <w:name w:val="page number"/>
    <w:basedOn w:val="DefaultParagraphFont"/>
    <w:uiPriority w:val="99"/>
    <w:semiHidden/>
    <w:unhideWhenUsed/>
    <w:rsid w:val="00CC2A52"/>
  </w:style>
  <w:style w:type="character" w:styleId="FollowedHyperlink">
    <w:name w:val="FollowedHyperlink"/>
    <w:basedOn w:val="DefaultParagraphFont"/>
    <w:uiPriority w:val="99"/>
    <w:semiHidden/>
    <w:unhideWhenUsed/>
    <w:rsid w:val="00AC2AF5"/>
    <w:rPr>
      <w:color w:val="954F72"/>
      <w:u w:val="single"/>
    </w:rPr>
  </w:style>
  <w:style w:type="paragraph" w:customStyle="1" w:styleId="xl63">
    <w:name w:val="xl63"/>
    <w:basedOn w:val="Normal"/>
    <w:rsid w:val="00AC2AF5"/>
    <w:pPr>
      <w:shd w:val="clear" w:color="FFFFFF" w:fill="FFFFFF"/>
      <w:spacing w:before="100" w:beforeAutospacing="1" w:after="100" w:afterAutospacing="1"/>
    </w:pPr>
  </w:style>
  <w:style w:type="paragraph" w:customStyle="1" w:styleId="xl64">
    <w:name w:val="xl64"/>
    <w:basedOn w:val="Normal"/>
    <w:rsid w:val="00AC2AF5"/>
    <w:pPr>
      <w:spacing w:before="100" w:beforeAutospacing="1" w:after="100" w:afterAutospacing="1"/>
      <w:jc w:val="right"/>
    </w:pPr>
  </w:style>
  <w:style w:type="paragraph" w:customStyle="1" w:styleId="xl65">
    <w:name w:val="xl65"/>
    <w:basedOn w:val="Normal"/>
    <w:rsid w:val="00AC2AF5"/>
    <w:pPr>
      <w:shd w:val="clear" w:color="FFFFFF" w:fill="FFFFFF"/>
      <w:spacing w:before="100" w:beforeAutospacing="1" w:after="100" w:afterAutospacing="1"/>
      <w:jc w:val="right"/>
    </w:pPr>
  </w:style>
  <w:style w:type="paragraph" w:customStyle="1" w:styleId="xl66">
    <w:name w:val="xl66"/>
    <w:basedOn w:val="Normal"/>
    <w:rsid w:val="00AC2AF5"/>
    <w:pPr>
      <w:shd w:val="clear" w:color="000000" w:fill="FFFFFF"/>
      <w:spacing w:before="100" w:beforeAutospacing="1" w:after="100" w:afterAutospacing="1"/>
    </w:pPr>
  </w:style>
  <w:style w:type="paragraph" w:customStyle="1" w:styleId="xl67">
    <w:name w:val="xl67"/>
    <w:basedOn w:val="Normal"/>
    <w:rsid w:val="007210E2"/>
    <w:pPr>
      <w:shd w:val="clear" w:color="FFFFFF" w:fill="FFFFFF"/>
      <w:spacing w:before="100" w:beforeAutospacing="1" w:after="100" w:afterAutospacing="1"/>
    </w:pPr>
  </w:style>
  <w:style w:type="paragraph" w:customStyle="1" w:styleId="font5">
    <w:name w:val="font5"/>
    <w:basedOn w:val="Normal"/>
    <w:rsid w:val="001247EF"/>
    <w:pPr>
      <w:spacing w:before="100" w:beforeAutospacing="1" w:after="100" w:afterAutospacing="1"/>
    </w:pPr>
    <w:rPr>
      <w:rFonts w:ascii="Arial" w:hAnsi="Arial" w:cs="Arial"/>
      <w:color w:val="000000"/>
      <w:sz w:val="20"/>
      <w:szCs w:val="20"/>
    </w:rPr>
  </w:style>
  <w:style w:type="paragraph" w:customStyle="1" w:styleId="font6">
    <w:name w:val="font6"/>
    <w:basedOn w:val="Normal"/>
    <w:rsid w:val="001247EF"/>
    <w:pPr>
      <w:spacing w:before="100" w:beforeAutospacing="1" w:after="100" w:afterAutospacing="1"/>
    </w:pPr>
    <w:rPr>
      <w:rFonts w:ascii="Arial" w:hAnsi="Arial" w:cs="Arial"/>
      <w:color w:val="003ECC"/>
      <w:sz w:val="20"/>
      <w:szCs w:val="20"/>
    </w:rPr>
  </w:style>
  <w:style w:type="paragraph" w:customStyle="1" w:styleId="xl68">
    <w:name w:val="xl68"/>
    <w:basedOn w:val="Normal"/>
    <w:rsid w:val="001247EF"/>
    <w:pPr>
      <w:spacing w:before="100" w:beforeAutospacing="1" w:after="100" w:afterAutospacing="1"/>
    </w:pPr>
    <w:rPr>
      <w:rFonts w:ascii="Calibri" w:hAnsi="Calibri"/>
      <w:b/>
      <w:bCs/>
      <w:i/>
      <w:iCs/>
      <w:color w:val="000000"/>
      <w:sz w:val="22"/>
      <w:szCs w:val="22"/>
    </w:rPr>
  </w:style>
  <w:style w:type="paragraph" w:customStyle="1" w:styleId="xl69">
    <w:name w:val="xl69"/>
    <w:basedOn w:val="Normal"/>
    <w:rsid w:val="001247EF"/>
    <w:pPr>
      <w:spacing w:before="100" w:beforeAutospacing="1" w:after="100" w:afterAutospacing="1"/>
    </w:pPr>
    <w:rPr>
      <w:rFonts w:ascii="Arial" w:hAnsi="Arial" w:cs="Arial"/>
      <w:sz w:val="20"/>
      <w:szCs w:val="20"/>
    </w:rPr>
  </w:style>
  <w:style w:type="paragraph" w:customStyle="1" w:styleId="xl70">
    <w:name w:val="xl70"/>
    <w:basedOn w:val="Normal"/>
    <w:rsid w:val="001247EF"/>
    <w:pPr>
      <w:spacing w:before="100" w:beforeAutospacing="1" w:after="100" w:afterAutospacing="1"/>
    </w:pPr>
    <w:rPr>
      <w:rFonts w:ascii="Arial" w:hAnsi="Arial" w:cs="Arial"/>
      <w:sz w:val="20"/>
      <w:szCs w:val="20"/>
    </w:rPr>
  </w:style>
  <w:style w:type="character" w:customStyle="1" w:styleId="CommentTextChar">
    <w:name w:val="Comment Text Char"/>
    <w:basedOn w:val="DefaultParagraphFont"/>
    <w:link w:val="CommentText"/>
    <w:semiHidden/>
    <w:rsid w:val="0084016A"/>
    <w:rPr>
      <w:sz w:val="20"/>
    </w:rPr>
  </w:style>
  <w:style w:type="paragraph" w:styleId="Bibliography">
    <w:name w:val="Bibliography"/>
    <w:basedOn w:val="Normal"/>
    <w:next w:val="Normal"/>
    <w:uiPriority w:val="37"/>
    <w:semiHidden/>
    <w:unhideWhenUsed/>
    <w:rsid w:val="00B2449B"/>
  </w:style>
  <w:style w:type="paragraph" w:styleId="BlockText">
    <w:name w:val="Block Text"/>
    <w:basedOn w:val="Normal"/>
    <w:uiPriority w:val="99"/>
    <w:semiHidden/>
    <w:unhideWhenUsed/>
    <w:rsid w:val="00B2449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2449B"/>
    <w:pPr>
      <w:spacing w:after="120"/>
    </w:pPr>
  </w:style>
  <w:style w:type="character" w:customStyle="1" w:styleId="BodyTextChar">
    <w:name w:val="Body Text Char"/>
    <w:basedOn w:val="DefaultParagraphFont"/>
    <w:link w:val="BodyText"/>
    <w:uiPriority w:val="99"/>
    <w:semiHidden/>
    <w:rsid w:val="00B2449B"/>
    <w:rPr>
      <w:rFonts w:ascii="Times New Roman" w:hAnsi="Times New Roman"/>
    </w:rPr>
  </w:style>
  <w:style w:type="paragraph" w:styleId="BodyText2">
    <w:name w:val="Body Text 2"/>
    <w:basedOn w:val="Normal"/>
    <w:link w:val="BodyText2Char"/>
    <w:uiPriority w:val="99"/>
    <w:semiHidden/>
    <w:unhideWhenUsed/>
    <w:rsid w:val="00B2449B"/>
    <w:pPr>
      <w:spacing w:after="120" w:line="480" w:lineRule="auto"/>
    </w:pPr>
  </w:style>
  <w:style w:type="character" w:customStyle="1" w:styleId="BodyText2Char">
    <w:name w:val="Body Text 2 Char"/>
    <w:basedOn w:val="DefaultParagraphFont"/>
    <w:link w:val="BodyText2"/>
    <w:uiPriority w:val="99"/>
    <w:semiHidden/>
    <w:rsid w:val="00B2449B"/>
    <w:rPr>
      <w:rFonts w:ascii="Times New Roman" w:hAnsi="Times New Roman"/>
    </w:rPr>
  </w:style>
  <w:style w:type="paragraph" w:styleId="BodyText3">
    <w:name w:val="Body Text 3"/>
    <w:basedOn w:val="Normal"/>
    <w:link w:val="BodyText3Char"/>
    <w:uiPriority w:val="99"/>
    <w:semiHidden/>
    <w:unhideWhenUsed/>
    <w:rsid w:val="00B2449B"/>
    <w:pPr>
      <w:spacing w:after="120"/>
    </w:pPr>
    <w:rPr>
      <w:sz w:val="16"/>
      <w:szCs w:val="16"/>
    </w:rPr>
  </w:style>
  <w:style w:type="character" w:customStyle="1" w:styleId="BodyText3Char">
    <w:name w:val="Body Text 3 Char"/>
    <w:basedOn w:val="DefaultParagraphFont"/>
    <w:link w:val="BodyText3"/>
    <w:uiPriority w:val="99"/>
    <w:semiHidden/>
    <w:rsid w:val="00B2449B"/>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B2449B"/>
    <w:pPr>
      <w:spacing w:after="0"/>
      <w:ind w:firstLine="360"/>
    </w:pPr>
  </w:style>
  <w:style w:type="character" w:customStyle="1" w:styleId="BodyTextFirstIndentChar">
    <w:name w:val="Body Text First Indent Char"/>
    <w:basedOn w:val="BodyTextChar"/>
    <w:link w:val="BodyTextFirstIndent"/>
    <w:uiPriority w:val="99"/>
    <w:semiHidden/>
    <w:rsid w:val="00B2449B"/>
    <w:rPr>
      <w:rFonts w:ascii="Times New Roman" w:hAnsi="Times New Roman"/>
    </w:rPr>
  </w:style>
  <w:style w:type="paragraph" w:styleId="BodyTextIndent">
    <w:name w:val="Body Text Indent"/>
    <w:basedOn w:val="Normal"/>
    <w:link w:val="BodyTextIndentChar"/>
    <w:uiPriority w:val="99"/>
    <w:semiHidden/>
    <w:unhideWhenUsed/>
    <w:rsid w:val="00B2449B"/>
    <w:pPr>
      <w:spacing w:after="120"/>
      <w:ind w:left="360"/>
    </w:pPr>
  </w:style>
  <w:style w:type="character" w:customStyle="1" w:styleId="BodyTextIndentChar">
    <w:name w:val="Body Text Indent Char"/>
    <w:basedOn w:val="DefaultParagraphFont"/>
    <w:link w:val="BodyTextIndent"/>
    <w:uiPriority w:val="99"/>
    <w:semiHidden/>
    <w:rsid w:val="00B2449B"/>
    <w:rPr>
      <w:rFonts w:ascii="Times New Roman" w:hAnsi="Times New Roman"/>
    </w:rPr>
  </w:style>
  <w:style w:type="paragraph" w:styleId="BodyTextFirstIndent2">
    <w:name w:val="Body Text First Indent 2"/>
    <w:basedOn w:val="BodyTextIndent"/>
    <w:link w:val="BodyTextFirstIndent2Char"/>
    <w:uiPriority w:val="99"/>
    <w:semiHidden/>
    <w:unhideWhenUsed/>
    <w:rsid w:val="00B2449B"/>
    <w:pPr>
      <w:spacing w:after="0"/>
      <w:ind w:firstLine="360"/>
    </w:pPr>
  </w:style>
  <w:style w:type="character" w:customStyle="1" w:styleId="BodyTextFirstIndent2Char">
    <w:name w:val="Body Text First Indent 2 Char"/>
    <w:basedOn w:val="BodyTextIndentChar"/>
    <w:link w:val="BodyTextFirstIndent2"/>
    <w:uiPriority w:val="99"/>
    <w:semiHidden/>
    <w:rsid w:val="00B2449B"/>
    <w:rPr>
      <w:rFonts w:ascii="Times New Roman" w:hAnsi="Times New Roman"/>
    </w:rPr>
  </w:style>
  <w:style w:type="paragraph" w:styleId="BodyTextIndent2">
    <w:name w:val="Body Text Indent 2"/>
    <w:basedOn w:val="Normal"/>
    <w:link w:val="BodyTextIndent2Char"/>
    <w:uiPriority w:val="99"/>
    <w:semiHidden/>
    <w:unhideWhenUsed/>
    <w:rsid w:val="00B2449B"/>
    <w:pPr>
      <w:spacing w:after="120" w:line="480" w:lineRule="auto"/>
      <w:ind w:left="360"/>
    </w:pPr>
  </w:style>
  <w:style w:type="character" w:customStyle="1" w:styleId="BodyTextIndent2Char">
    <w:name w:val="Body Text Indent 2 Char"/>
    <w:basedOn w:val="DefaultParagraphFont"/>
    <w:link w:val="BodyTextIndent2"/>
    <w:uiPriority w:val="99"/>
    <w:semiHidden/>
    <w:rsid w:val="00B2449B"/>
    <w:rPr>
      <w:rFonts w:ascii="Times New Roman" w:hAnsi="Times New Roman"/>
    </w:rPr>
  </w:style>
  <w:style w:type="paragraph" w:styleId="BodyTextIndent3">
    <w:name w:val="Body Text Indent 3"/>
    <w:basedOn w:val="Normal"/>
    <w:link w:val="BodyTextIndent3Char"/>
    <w:uiPriority w:val="99"/>
    <w:semiHidden/>
    <w:unhideWhenUsed/>
    <w:rsid w:val="00B2449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2449B"/>
    <w:rPr>
      <w:rFonts w:ascii="Times New Roman" w:hAnsi="Times New Roman"/>
      <w:sz w:val="16"/>
      <w:szCs w:val="16"/>
    </w:rPr>
  </w:style>
  <w:style w:type="paragraph" w:styleId="Caption">
    <w:name w:val="caption"/>
    <w:basedOn w:val="Normal"/>
    <w:next w:val="Normal"/>
    <w:uiPriority w:val="35"/>
    <w:semiHidden/>
    <w:unhideWhenUsed/>
    <w:qFormat/>
    <w:rsid w:val="00B2449B"/>
    <w:pPr>
      <w:spacing w:after="200"/>
    </w:pPr>
    <w:rPr>
      <w:b/>
      <w:bCs/>
      <w:color w:val="4F81BD" w:themeColor="accent1"/>
      <w:sz w:val="18"/>
      <w:szCs w:val="18"/>
    </w:rPr>
  </w:style>
  <w:style w:type="paragraph" w:styleId="Closing">
    <w:name w:val="Closing"/>
    <w:basedOn w:val="Normal"/>
    <w:link w:val="ClosingChar"/>
    <w:uiPriority w:val="99"/>
    <w:semiHidden/>
    <w:unhideWhenUsed/>
    <w:rsid w:val="00B2449B"/>
    <w:pPr>
      <w:ind w:left="4320"/>
    </w:pPr>
  </w:style>
  <w:style w:type="character" w:customStyle="1" w:styleId="ClosingChar">
    <w:name w:val="Closing Char"/>
    <w:basedOn w:val="DefaultParagraphFont"/>
    <w:link w:val="Closing"/>
    <w:uiPriority w:val="99"/>
    <w:semiHidden/>
    <w:rsid w:val="00B2449B"/>
    <w:rPr>
      <w:rFonts w:ascii="Times New Roman" w:hAnsi="Times New Roman"/>
    </w:rPr>
  </w:style>
  <w:style w:type="paragraph" w:styleId="Date">
    <w:name w:val="Date"/>
    <w:basedOn w:val="Normal"/>
    <w:next w:val="Normal"/>
    <w:link w:val="DateChar"/>
    <w:uiPriority w:val="99"/>
    <w:semiHidden/>
    <w:unhideWhenUsed/>
    <w:rsid w:val="00B2449B"/>
  </w:style>
  <w:style w:type="character" w:customStyle="1" w:styleId="DateChar">
    <w:name w:val="Date Char"/>
    <w:basedOn w:val="DefaultParagraphFont"/>
    <w:link w:val="Date"/>
    <w:uiPriority w:val="99"/>
    <w:semiHidden/>
    <w:rsid w:val="00B2449B"/>
    <w:rPr>
      <w:rFonts w:ascii="Times New Roman" w:hAnsi="Times New Roman"/>
    </w:rPr>
  </w:style>
  <w:style w:type="paragraph" w:styleId="DocumentMap">
    <w:name w:val="Document Map"/>
    <w:basedOn w:val="Normal"/>
    <w:link w:val="DocumentMapChar"/>
    <w:uiPriority w:val="99"/>
    <w:semiHidden/>
    <w:unhideWhenUsed/>
    <w:rsid w:val="00B2449B"/>
    <w:rPr>
      <w:rFonts w:ascii="Tahoma" w:hAnsi="Tahoma" w:cs="Tahoma"/>
      <w:sz w:val="16"/>
      <w:szCs w:val="16"/>
    </w:rPr>
  </w:style>
  <w:style w:type="character" w:customStyle="1" w:styleId="DocumentMapChar">
    <w:name w:val="Document Map Char"/>
    <w:basedOn w:val="DefaultParagraphFont"/>
    <w:link w:val="DocumentMap"/>
    <w:uiPriority w:val="99"/>
    <w:semiHidden/>
    <w:rsid w:val="00B2449B"/>
    <w:rPr>
      <w:rFonts w:ascii="Tahoma" w:hAnsi="Tahoma" w:cs="Tahoma"/>
      <w:sz w:val="16"/>
      <w:szCs w:val="16"/>
    </w:rPr>
  </w:style>
  <w:style w:type="paragraph" w:styleId="E-mailSignature">
    <w:name w:val="E-mail Signature"/>
    <w:basedOn w:val="Normal"/>
    <w:link w:val="E-mailSignatureChar"/>
    <w:uiPriority w:val="99"/>
    <w:semiHidden/>
    <w:unhideWhenUsed/>
    <w:rsid w:val="00B2449B"/>
  </w:style>
  <w:style w:type="character" w:customStyle="1" w:styleId="E-mailSignatureChar">
    <w:name w:val="E-mail Signature Char"/>
    <w:basedOn w:val="DefaultParagraphFont"/>
    <w:link w:val="E-mailSignature"/>
    <w:uiPriority w:val="99"/>
    <w:semiHidden/>
    <w:rsid w:val="00B2449B"/>
    <w:rPr>
      <w:rFonts w:ascii="Times New Roman" w:hAnsi="Times New Roman"/>
    </w:rPr>
  </w:style>
  <w:style w:type="paragraph" w:styleId="EndnoteText">
    <w:name w:val="endnote text"/>
    <w:basedOn w:val="Normal"/>
    <w:link w:val="EndnoteTextChar"/>
    <w:uiPriority w:val="99"/>
    <w:semiHidden/>
    <w:unhideWhenUsed/>
    <w:rsid w:val="00B2449B"/>
    <w:rPr>
      <w:sz w:val="20"/>
      <w:szCs w:val="20"/>
    </w:rPr>
  </w:style>
  <w:style w:type="character" w:customStyle="1" w:styleId="EndnoteTextChar">
    <w:name w:val="Endnote Text Char"/>
    <w:basedOn w:val="DefaultParagraphFont"/>
    <w:link w:val="EndnoteText"/>
    <w:uiPriority w:val="99"/>
    <w:semiHidden/>
    <w:rsid w:val="00B2449B"/>
    <w:rPr>
      <w:rFonts w:ascii="Times New Roman" w:hAnsi="Times New Roman"/>
      <w:sz w:val="20"/>
      <w:szCs w:val="20"/>
    </w:rPr>
  </w:style>
  <w:style w:type="paragraph" w:styleId="EnvelopeAddress">
    <w:name w:val="envelope address"/>
    <w:basedOn w:val="Normal"/>
    <w:uiPriority w:val="99"/>
    <w:semiHidden/>
    <w:unhideWhenUsed/>
    <w:rsid w:val="00B2449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449B"/>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2449B"/>
    <w:rPr>
      <w:sz w:val="20"/>
      <w:szCs w:val="20"/>
    </w:rPr>
  </w:style>
  <w:style w:type="character" w:customStyle="1" w:styleId="FootnoteTextChar">
    <w:name w:val="Footnote Text Char"/>
    <w:basedOn w:val="DefaultParagraphFont"/>
    <w:link w:val="FootnoteText"/>
    <w:uiPriority w:val="99"/>
    <w:semiHidden/>
    <w:rsid w:val="00B2449B"/>
    <w:rPr>
      <w:rFonts w:ascii="Times New Roman" w:hAnsi="Times New Roman"/>
      <w:sz w:val="20"/>
      <w:szCs w:val="20"/>
    </w:rPr>
  </w:style>
  <w:style w:type="character" w:customStyle="1" w:styleId="Heading2Char">
    <w:name w:val="Heading 2 Char"/>
    <w:basedOn w:val="DefaultParagraphFont"/>
    <w:link w:val="Heading2"/>
    <w:uiPriority w:val="9"/>
    <w:semiHidden/>
    <w:rsid w:val="00B244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44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244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2449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244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244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244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449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2449B"/>
    <w:rPr>
      <w:i/>
      <w:iCs/>
    </w:rPr>
  </w:style>
  <w:style w:type="character" w:customStyle="1" w:styleId="HTMLAddressChar">
    <w:name w:val="HTML Address Char"/>
    <w:basedOn w:val="DefaultParagraphFont"/>
    <w:link w:val="HTMLAddress"/>
    <w:uiPriority w:val="99"/>
    <w:semiHidden/>
    <w:rsid w:val="00B2449B"/>
    <w:rPr>
      <w:rFonts w:ascii="Times New Roman" w:hAnsi="Times New Roman"/>
      <w:i/>
      <w:iCs/>
    </w:rPr>
  </w:style>
  <w:style w:type="paragraph" w:styleId="HTMLPreformatted">
    <w:name w:val="HTML Preformatted"/>
    <w:basedOn w:val="Normal"/>
    <w:link w:val="HTMLPreformattedChar"/>
    <w:uiPriority w:val="99"/>
    <w:semiHidden/>
    <w:unhideWhenUsed/>
    <w:rsid w:val="00B2449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2449B"/>
    <w:rPr>
      <w:rFonts w:ascii="Consolas" w:hAnsi="Consolas" w:cs="Consolas"/>
      <w:sz w:val="20"/>
      <w:szCs w:val="20"/>
    </w:rPr>
  </w:style>
  <w:style w:type="paragraph" w:styleId="Index1">
    <w:name w:val="index 1"/>
    <w:basedOn w:val="Normal"/>
    <w:next w:val="Normal"/>
    <w:autoRedefine/>
    <w:uiPriority w:val="99"/>
    <w:semiHidden/>
    <w:unhideWhenUsed/>
    <w:rsid w:val="00B2449B"/>
    <w:pPr>
      <w:ind w:left="240" w:hanging="240"/>
    </w:pPr>
  </w:style>
  <w:style w:type="paragraph" w:styleId="Index2">
    <w:name w:val="index 2"/>
    <w:basedOn w:val="Normal"/>
    <w:next w:val="Normal"/>
    <w:autoRedefine/>
    <w:uiPriority w:val="99"/>
    <w:semiHidden/>
    <w:unhideWhenUsed/>
    <w:rsid w:val="00B2449B"/>
    <w:pPr>
      <w:ind w:left="480" w:hanging="240"/>
    </w:pPr>
  </w:style>
  <w:style w:type="paragraph" w:styleId="Index3">
    <w:name w:val="index 3"/>
    <w:basedOn w:val="Normal"/>
    <w:next w:val="Normal"/>
    <w:autoRedefine/>
    <w:uiPriority w:val="99"/>
    <w:semiHidden/>
    <w:unhideWhenUsed/>
    <w:rsid w:val="00B2449B"/>
    <w:pPr>
      <w:ind w:left="720" w:hanging="240"/>
    </w:pPr>
  </w:style>
  <w:style w:type="paragraph" w:styleId="Index4">
    <w:name w:val="index 4"/>
    <w:basedOn w:val="Normal"/>
    <w:next w:val="Normal"/>
    <w:autoRedefine/>
    <w:uiPriority w:val="99"/>
    <w:semiHidden/>
    <w:unhideWhenUsed/>
    <w:rsid w:val="00B2449B"/>
    <w:pPr>
      <w:ind w:left="960" w:hanging="240"/>
    </w:pPr>
  </w:style>
  <w:style w:type="paragraph" w:styleId="Index5">
    <w:name w:val="index 5"/>
    <w:basedOn w:val="Normal"/>
    <w:next w:val="Normal"/>
    <w:autoRedefine/>
    <w:uiPriority w:val="99"/>
    <w:semiHidden/>
    <w:unhideWhenUsed/>
    <w:rsid w:val="00B2449B"/>
    <w:pPr>
      <w:ind w:left="1200" w:hanging="240"/>
    </w:pPr>
  </w:style>
  <w:style w:type="paragraph" w:styleId="Index6">
    <w:name w:val="index 6"/>
    <w:basedOn w:val="Normal"/>
    <w:next w:val="Normal"/>
    <w:autoRedefine/>
    <w:uiPriority w:val="99"/>
    <w:semiHidden/>
    <w:unhideWhenUsed/>
    <w:rsid w:val="00B2449B"/>
    <w:pPr>
      <w:ind w:left="1440" w:hanging="240"/>
    </w:pPr>
  </w:style>
  <w:style w:type="paragraph" w:styleId="Index7">
    <w:name w:val="index 7"/>
    <w:basedOn w:val="Normal"/>
    <w:next w:val="Normal"/>
    <w:autoRedefine/>
    <w:uiPriority w:val="99"/>
    <w:semiHidden/>
    <w:unhideWhenUsed/>
    <w:rsid w:val="00B2449B"/>
    <w:pPr>
      <w:ind w:left="1680" w:hanging="240"/>
    </w:pPr>
  </w:style>
  <w:style w:type="paragraph" w:styleId="Index8">
    <w:name w:val="index 8"/>
    <w:basedOn w:val="Normal"/>
    <w:next w:val="Normal"/>
    <w:autoRedefine/>
    <w:uiPriority w:val="99"/>
    <w:semiHidden/>
    <w:unhideWhenUsed/>
    <w:rsid w:val="00B2449B"/>
    <w:pPr>
      <w:ind w:left="1920" w:hanging="240"/>
    </w:pPr>
  </w:style>
  <w:style w:type="paragraph" w:styleId="Index9">
    <w:name w:val="index 9"/>
    <w:basedOn w:val="Normal"/>
    <w:next w:val="Normal"/>
    <w:autoRedefine/>
    <w:uiPriority w:val="99"/>
    <w:semiHidden/>
    <w:unhideWhenUsed/>
    <w:rsid w:val="00B2449B"/>
    <w:pPr>
      <w:ind w:left="2160" w:hanging="240"/>
    </w:pPr>
  </w:style>
  <w:style w:type="paragraph" w:styleId="IndexHeading">
    <w:name w:val="index heading"/>
    <w:basedOn w:val="Normal"/>
    <w:next w:val="Index1"/>
    <w:uiPriority w:val="99"/>
    <w:semiHidden/>
    <w:unhideWhenUsed/>
    <w:rsid w:val="00B2449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44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449B"/>
    <w:rPr>
      <w:rFonts w:ascii="Times New Roman" w:hAnsi="Times New Roman"/>
      <w:b/>
      <w:bCs/>
      <w:i/>
      <w:iCs/>
      <w:color w:val="4F81BD" w:themeColor="accent1"/>
    </w:rPr>
  </w:style>
  <w:style w:type="paragraph" w:styleId="List">
    <w:name w:val="List"/>
    <w:basedOn w:val="Normal"/>
    <w:uiPriority w:val="99"/>
    <w:semiHidden/>
    <w:unhideWhenUsed/>
    <w:rsid w:val="00B2449B"/>
    <w:pPr>
      <w:ind w:left="360" w:hanging="360"/>
      <w:contextualSpacing/>
    </w:pPr>
  </w:style>
  <w:style w:type="paragraph" w:styleId="List2">
    <w:name w:val="List 2"/>
    <w:basedOn w:val="Normal"/>
    <w:uiPriority w:val="99"/>
    <w:semiHidden/>
    <w:unhideWhenUsed/>
    <w:rsid w:val="00B2449B"/>
    <w:pPr>
      <w:ind w:left="720" w:hanging="360"/>
      <w:contextualSpacing/>
    </w:pPr>
  </w:style>
  <w:style w:type="paragraph" w:styleId="List3">
    <w:name w:val="List 3"/>
    <w:basedOn w:val="Normal"/>
    <w:uiPriority w:val="99"/>
    <w:semiHidden/>
    <w:unhideWhenUsed/>
    <w:rsid w:val="00B2449B"/>
    <w:pPr>
      <w:ind w:left="1080" w:hanging="360"/>
      <w:contextualSpacing/>
    </w:pPr>
  </w:style>
  <w:style w:type="paragraph" w:styleId="List4">
    <w:name w:val="List 4"/>
    <w:basedOn w:val="Normal"/>
    <w:uiPriority w:val="99"/>
    <w:semiHidden/>
    <w:unhideWhenUsed/>
    <w:rsid w:val="00B2449B"/>
    <w:pPr>
      <w:ind w:left="1440" w:hanging="360"/>
      <w:contextualSpacing/>
    </w:pPr>
  </w:style>
  <w:style w:type="paragraph" w:styleId="List5">
    <w:name w:val="List 5"/>
    <w:basedOn w:val="Normal"/>
    <w:uiPriority w:val="99"/>
    <w:semiHidden/>
    <w:unhideWhenUsed/>
    <w:rsid w:val="00B2449B"/>
    <w:pPr>
      <w:ind w:left="1800" w:hanging="360"/>
      <w:contextualSpacing/>
    </w:pPr>
  </w:style>
  <w:style w:type="paragraph" w:styleId="ListBullet">
    <w:name w:val="List Bullet"/>
    <w:basedOn w:val="Normal"/>
    <w:uiPriority w:val="99"/>
    <w:semiHidden/>
    <w:unhideWhenUsed/>
    <w:rsid w:val="00B2449B"/>
    <w:pPr>
      <w:numPr>
        <w:numId w:val="13"/>
      </w:numPr>
      <w:contextualSpacing/>
    </w:pPr>
  </w:style>
  <w:style w:type="paragraph" w:styleId="ListBullet2">
    <w:name w:val="List Bullet 2"/>
    <w:basedOn w:val="Normal"/>
    <w:uiPriority w:val="99"/>
    <w:semiHidden/>
    <w:unhideWhenUsed/>
    <w:rsid w:val="00B2449B"/>
    <w:pPr>
      <w:numPr>
        <w:numId w:val="14"/>
      </w:numPr>
      <w:contextualSpacing/>
    </w:pPr>
  </w:style>
  <w:style w:type="paragraph" w:styleId="ListBullet3">
    <w:name w:val="List Bullet 3"/>
    <w:basedOn w:val="Normal"/>
    <w:uiPriority w:val="99"/>
    <w:semiHidden/>
    <w:unhideWhenUsed/>
    <w:rsid w:val="00B2449B"/>
    <w:pPr>
      <w:numPr>
        <w:numId w:val="15"/>
      </w:numPr>
      <w:contextualSpacing/>
    </w:pPr>
  </w:style>
  <w:style w:type="paragraph" w:styleId="ListBullet4">
    <w:name w:val="List Bullet 4"/>
    <w:basedOn w:val="Normal"/>
    <w:uiPriority w:val="99"/>
    <w:semiHidden/>
    <w:unhideWhenUsed/>
    <w:rsid w:val="00B2449B"/>
    <w:pPr>
      <w:numPr>
        <w:numId w:val="16"/>
      </w:numPr>
      <w:contextualSpacing/>
    </w:pPr>
  </w:style>
  <w:style w:type="paragraph" w:styleId="ListBullet5">
    <w:name w:val="List Bullet 5"/>
    <w:basedOn w:val="Normal"/>
    <w:uiPriority w:val="99"/>
    <w:semiHidden/>
    <w:unhideWhenUsed/>
    <w:rsid w:val="00B2449B"/>
    <w:pPr>
      <w:numPr>
        <w:numId w:val="17"/>
      </w:numPr>
      <w:contextualSpacing/>
    </w:pPr>
  </w:style>
  <w:style w:type="paragraph" w:styleId="ListContinue">
    <w:name w:val="List Continue"/>
    <w:basedOn w:val="Normal"/>
    <w:uiPriority w:val="99"/>
    <w:semiHidden/>
    <w:unhideWhenUsed/>
    <w:rsid w:val="00B2449B"/>
    <w:pPr>
      <w:spacing w:after="120"/>
      <w:ind w:left="360"/>
      <w:contextualSpacing/>
    </w:pPr>
  </w:style>
  <w:style w:type="paragraph" w:styleId="ListContinue2">
    <w:name w:val="List Continue 2"/>
    <w:basedOn w:val="Normal"/>
    <w:uiPriority w:val="99"/>
    <w:semiHidden/>
    <w:unhideWhenUsed/>
    <w:rsid w:val="00B2449B"/>
    <w:pPr>
      <w:spacing w:after="120"/>
      <w:ind w:left="720"/>
      <w:contextualSpacing/>
    </w:pPr>
  </w:style>
  <w:style w:type="paragraph" w:styleId="ListContinue3">
    <w:name w:val="List Continue 3"/>
    <w:basedOn w:val="Normal"/>
    <w:uiPriority w:val="99"/>
    <w:semiHidden/>
    <w:unhideWhenUsed/>
    <w:rsid w:val="00B2449B"/>
    <w:pPr>
      <w:spacing w:after="120"/>
      <w:ind w:left="1080"/>
      <w:contextualSpacing/>
    </w:pPr>
  </w:style>
  <w:style w:type="paragraph" w:styleId="ListContinue4">
    <w:name w:val="List Continue 4"/>
    <w:basedOn w:val="Normal"/>
    <w:uiPriority w:val="99"/>
    <w:semiHidden/>
    <w:unhideWhenUsed/>
    <w:rsid w:val="00B2449B"/>
    <w:pPr>
      <w:spacing w:after="120"/>
      <w:ind w:left="1440"/>
      <w:contextualSpacing/>
    </w:pPr>
  </w:style>
  <w:style w:type="paragraph" w:styleId="ListContinue5">
    <w:name w:val="List Continue 5"/>
    <w:basedOn w:val="Normal"/>
    <w:uiPriority w:val="99"/>
    <w:semiHidden/>
    <w:unhideWhenUsed/>
    <w:rsid w:val="00B2449B"/>
    <w:pPr>
      <w:spacing w:after="120"/>
      <w:ind w:left="1800"/>
      <w:contextualSpacing/>
    </w:pPr>
  </w:style>
  <w:style w:type="paragraph" w:styleId="ListNumber">
    <w:name w:val="List Number"/>
    <w:basedOn w:val="Normal"/>
    <w:uiPriority w:val="99"/>
    <w:semiHidden/>
    <w:unhideWhenUsed/>
    <w:rsid w:val="00B2449B"/>
    <w:pPr>
      <w:numPr>
        <w:numId w:val="18"/>
      </w:numPr>
      <w:contextualSpacing/>
    </w:pPr>
  </w:style>
  <w:style w:type="paragraph" w:styleId="ListNumber2">
    <w:name w:val="List Number 2"/>
    <w:basedOn w:val="Normal"/>
    <w:uiPriority w:val="99"/>
    <w:semiHidden/>
    <w:unhideWhenUsed/>
    <w:rsid w:val="00B2449B"/>
    <w:pPr>
      <w:numPr>
        <w:numId w:val="19"/>
      </w:numPr>
      <w:contextualSpacing/>
    </w:pPr>
  </w:style>
  <w:style w:type="paragraph" w:styleId="ListNumber3">
    <w:name w:val="List Number 3"/>
    <w:basedOn w:val="Normal"/>
    <w:uiPriority w:val="99"/>
    <w:semiHidden/>
    <w:unhideWhenUsed/>
    <w:rsid w:val="00B2449B"/>
    <w:pPr>
      <w:numPr>
        <w:numId w:val="20"/>
      </w:numPr>
      <w:contextualSpacing/>
    </w:pPr>
  </w:style>
  <w:style w:type="paragraph" w:styleId="ListNumber4">
    <w:name w:val="List Number 4"/>
    <w:basedOn w:val="Normal"/>
    <w:uiPriority w:val="99"/>
    <w:semiHidden/>
    <w:unhideWhenUsed/>
    <w:rsid w:val="00B2449B"/>
    <w:pPr>
      <w:numPr>
        <w:numId w:val="21"/>
      </w:numPr>
      <w:contextualSpacing/>
    </w:pPr>
  </w:style>
  <w:style w:type="paragraph" w:styleId="ListNumber5">
    <w:name w:val="List Number 5"/>
    <w:basedOn w:val="Normal"/>
    <w:uiPriority w:val="99"/>
    <w:semiHidden/>
    <w:unhideWhenUsed/>
    <w:rsid w:val="00B2449B"/>
    <w:pPr>
      <w:numPr>
        <w:numId w:val="22"/>
      </w:numPr>
      <w:contextualSpacing/>
    </w:pPr>
  </w:style>
  <w:style w:type="paragraph" w:styleId="MacroText">
    <w:name w:val="macro"/>
    <w:link w:val="MacroTextChar"/>
    <w:uiPriority w:val="99"/>
    <w:semiHidden/>
    <w:unhideWhenUsed/>
    <w:rsid w:val="00B2449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B2449B"/>
    <w:rPr>
      <w:rFonts w:ascii="Consolas" w:hAnsi="Consolas" w:cs="Consolas"/>
      <w:sz w:val="20"/>
      <w:szCs w:val="20"/>
    </w:rPr>
  </w:style>
  <w:style w:type="paragraph" w:styleId="MessageHeader">
    <w:name w:val="Message Header"/>
    <w:basedOn w:val="Normal"/>
    <w:link w:val="MessageHeaderChar"/>
    <w:uiPriority w:val="99"/>
    <w:semiHidden/>
    <w:unhideWhenUsed/>
    <w:rsid w:val="00B2449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449B"/>
    <w:rPr>
      <w:rFonts w:asciiTheme="majorHAnsi" w:eastAsiaTheme="majorEastAsia" w:hAnsiTheme="majorHAnsi" w:cstheme="majorBidi"/>
      <w:shd w:val="pct20" w:color="auto" w:fill="auto"/>
    </w:rPr>
  </w:style>
  <w:style w:type="paragraph" w:styleId="NoSpacing">
    <w:name w:val="No Spacing"/>
    <w:uiPriority w:val="1"/>
    <w:rsid w:val="00B2449B"/>
    <w:rPr>
      <w:rFonts w:ascii="Times New Roman" w:hAnsi="Times New Roman"/>
    </w:rPr>
  </w:style>
  <w:style w:type="paragraph" w:styleId="NormalIndent">
    <w:name w:val="Normal Indent"/>
    <w:basedOn w:val="Normal"/>
    <w:uiPriority w:val="99"/>
    <w:semiHidden/>
    <w:unhideWhenUsed/>
    <w:rsid w:val="00B2449B"/>
    <w:pPr>
      <w:ind w:left="720"/>
    </w:pPr>
  </w:style>
  <w:style w:type="paragraph" w:styleId="NoteHeading">
    <w:name w:val="Note Heading"/>
    <w:basedOn w:val="Normal"/>
    <w:next w:val="Normal"/>
    <w:link w:val="NoteHeadingChar"/>
    <w:uiPriority w:val="99"/>
    <w:semiHidden/>
    <w:unhideWhenUsed/>
    <w:rsid w:val="00B2449B"/>
  </w:style>
  <w:style w:type="character" w:customStyle="1" w:styleId="NoteHeadingChar">
    <w:name w:val="Note Heading Char"/>
    <w:basedOn w:val="DefaultParagraphFont"/>
    <w:link w:val="NoteHeading"/>
    <w:uiPriority w:val="99"/>
    <w:semiHidden/>
    <w:rsid w:val="00B2449B"/>
    <w:rPr>
      <w:rFonts w:ascii="Times New Roman" w:hAnsi="Times New Roman"/>
    </w:rPr>
  </w:style>
  <w:style w:type="paragraph" w:styleId="PlainText">
    <w:name w:val="Plain Text"/>
    <w:basedOn w:val="Normal"/>
    <w:link w:val="PlainTextChar"/>
    <w:semiHidden/>
    <w:unhideWhenUsed/>
    <w:rsid w:val="00B2449B"/>
    <w:rPr>
      <w:rFonts w:ascii="Consolas" w:hAnsi="Consolas" w:cs="Consolas"/>
      <w:sz w:val="21"/>
      <w:szCs w:val="21"/>
    </w:rPr>
  </w:style>
  <w:style w:type="character" w:customStyle="1" w:styleId="PlainTextChar">
    <w:name w:val="Plain Text Char"/>
    <w:basedOn w:val="DefaultParagraphFont"/>
    <w:link w:val="PlainText"/>
    <w:semiHidden/>
    <w:rsid w:val="00B2449B"/>
    <w:rPr>
      <w:rFonts w:ascii="Consolas" w:hAnsi="Consolas" w:cs="Consolas"/>
      <w:sz w:val="21"/>
      <w:szCs w:val="21"/>
    </w:rPr>
  </w:style>
  <w:style w:type="paragraph" w:styleId="Quote">
    <w:name w:val="Quote"/>
    <w:basedOn w:val="Normal"/>
    <w:next w:val="Normal"/>
    <w:link w:val="QuoteChar"/>
    <w:uiPriority w:val="29"/>
    <w:qFormat/>
    <w:rsid w:val="00B2449B"/>
    <w:rPr>
      <w:i/>
      <w:iCs/>
      <w:color w:val="000000" w:themeColor="text1"/>
    </w:rPr>
  </w:style>
  <w:style w:type="character" w:customStyle="1" w:styleId="QuoteChar">
    <w:name w:val="Quote Char"/>
    <w:basedOn w:val="DefaultParagraphFont"/>
    <w:link w:val="Quote"/>
    <w:uiPriority w:val="29"/>
    <w:rsid w:val="00B2449B"/>
    <w:rPr>
      <w:rFonts w:ascii="Times New Roman" w:hAnsi="Times New Roman"/>
      <w:i/>
      <w:iCs/>
      <w:color w:val="000000" w:themeColor="text1"/>
    </w:rPr>
  </w:style>
  <w:style w:type="paragraph" w:styleId="Salutation">
    <w:name w:val="Salutation"/>
    <w:basedOn w:val="Normal"/>
    <w:next w:val="Normal"/>
    <w:link w:val="SalutationChar"/>
    <w:uiPriority w:val="99"/>
    <w:semiHidden/>
    <w:unhideWhenUsed/>
    <w:rsid w:val="00B2449B"/>
  </w:style>
  <w:style w:type="character" w:customStyle="1" w:styleId="SalutationChar">
    <w:name w:val="Salutation Char"/>
    <w:basedOn w:val="DefaultParagraphFont"/>
    <w:link w:val="Salutation"/>
    <w:uiPriority w:val="99"/>
    <w:semiHidden/>
    <w:rsid w:val="00B2449B"/>
    <w:rPr>
      <w:rFonts w:ascii="Times New Roman" w:hAnsi="Times New Roman"/>
    </w:rPr>
  </w:style>
  <w:style w:type="paragraph" w:styleId="Signature">
    <w:name w:val="Signature"/>
    <w:basedOn w:val="Normal"/>
    <w:link w:val="SignatureChar"/>
    <w:uiPriority w:val="99"/>
    <w:semiHidden/>
    <w:unhideWhenUsed/>
    <w:rsid w:val="00B2449B"/>
    <w:pPr>
      <w:ind w:left="4320"/>
    </w:pPr>
  </w:style>
  <w:style w:type="character" w:customStyle="1" w:styleId="SignatureChar">
    <w:name w:val="Signature Char"/>
    <w:basedOn w:val="DefaultParagraphFont"/>
    <w:link w:val="Signature"/>
    <w:uiPriority w:val="99"/>
    <w:semiHidden/>
    <w:rsid w:val="00B2449B"/>
    <w:rPr>
      <w:rFonts w:ascii="Times New Roman" w:hAnsi="Times New Roman"/>
    </w:rPr>
  </w:style>
  <w:style w:type="paragraph" w:styleId="Subtitle">
    <w:name w:val="Subtitle"/>
    <w:basedOn w:val="Normal"/>
    <w:next w:val="Normal"/>
    <w:link w:val="SubtitleChar"/>
    <w:uiPriority w:val="11"/>
    <w:qFormat/>
    <w:rsid w:val="00B2449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2449B"/>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B2449B"/>
    <w:pPr>
      <w:ind w:left="240" w:hanging="240"/>
    </w:pPr>
  </w:style>
  <w:style w:type="paragraph" w:styleId="TableofFigures">
    <w:name w:val="table of figures"/>
    <w:basedOn w:val="Normal"/>
    <w:next w:val="Normal"/>
    <w:uiPriority w:val="99"/>
    <w:semiHidden/>
    <w:unhideWhenUsed/>
    <w:rsid w:val="00B2449B"/>
  </w:style>
  <w:style w:type="paragraph" w:styleId="Title">
    <w:name w:val="Title"/>
    <w:basedOn w:val="Normal"/>
    <w:next w:val="Normal"/>
    <w:link w:val="TitleChar"/>
    <w:uiPriority w:val="10"/>
    <w:qFormat/>
    <w:rsid w:val="00B244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49B"/>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2449B"/>
    <w:pPr>
      <w:spacing w:before="120"/>
    </w:pPr>
    <w:rPr>
      <w:rFonts w:asciiTheme="majorHAnsi" w:eastAsiaTheme="majorEastAsia" w:hAnsiTheme="majorHAnsi" w:cstheme="majorBidi"/>
      <w:b/>
      <w:bCs/>
    </w:rPr>
  </w:style>
  <w:style w:type="paragraph" w:styleId="TOC3">
    <w:name w:val="toc 3"/>
    <w:basedOn w:val="Normal"/>
    <w:next w:val="Normal"/>
    <w:autoRedefine/>
    <w:uiPriority w:val="39"/>
    <w:semiHidden/>
    <w:unhideWhenUsed/>
    <w:rsid w:val="00B2449B"/>
    <w:pPr>
      <w:spacing w:after="100"/>
      <w:ind w:left="480"/>
    </w:pPr>
  </w:style>
  <w:style w:type="paragraph" w:styleId="TOC4">
    <w:name w:val="toc 4"/>
    <w:basedOn w:val="Normal"/>
    <w:next w:val="Normal"/>
    <w:autoRedefine/>
    <w:uiPriority w:val="39"/>
    <w:semiHidden/>
    <w:unhideWhenUsed/>
    <w:rsid w:val="00B2449B"/>
    <w:pPr>
      <w:spacing w:after="100"/>
      <w:ind w:left="720"/>
    </w:pPr>
  </w:style>
  <w:style w:type="paragraph" w:styleId="TOC5">
    <w:name w:val="toc 5"/>
    <w:basedOn w:val="Normal"/>
    <w:next w:val="Normal"/>
    <w:autoRedefine/>
    <w:uiPriority w:val="39"/>
    <w:semiHidden/>
    <w:unhideWhenUsed/>
    <w:rsid w:val="00B2449B"/>
    <w:pPr>
      <w:spacing w:after="100"/>
      <w:ind w:left="960"/>
    </w:pPr>
  </w:style>
  <w:style w:type="paragraph" w:styleId="TOC6">
    <w:name w:val="toc 6"/>
    <w:basedOn w:val="Normal"/>
    <w:next w:val="Normal"/>
    <w:autoRedefine/>
    <w:uiPriority w:val="39"/>
    <w:semiHidden/>
    <w:unhideWhenUsed/>
    <w:rsid w:val="00B2449B"/>
    <w:pPr>
      <w:spacing w:after="100"/>
      <w:ind w:left="1200"/>
    </w:pPr>
  </w:style>
  <w:style w:type="paragraph" w:styleId="TOC7">
    <w:name w:val="toc 7"/>
    <w:basedOn w:val="Normal"/>
    <w:next w:val="Normal"/>
    <w:autoRedefine/>
    <w:uiPriority w:val="39"/>
    <w:semiHidden/>
    <w:unhideWhenUsed/>
    <w:rsid w:val="00B2449B"/>
    <w:pPr>
      <w:spacing w:after="100"/>
      <w:ind w:left="1440"/>
    </w:pPr>
  </w:style>
  <w:style w:type="paragraph" w:styleId="TOC8">
    <w:name w:val="toc 8"/>
    <w:basedOn w:val="Normal"/>
    <w:next w:val="Normal"/>
    <w:autoRedefine/>
    <w:uiPriority w:val="39"/>
    <w:semiHidden/>
    <w:unhideWhenUsed/>
    <w:rsid w:val="00B2449B"/>
    <w:pPr>
      <w:spacing w:after="100"/>
      <w:ind w:left="1680"/>
    </w:pPr>
  </w:style>
  <w:style w:type="paragraph" w:styleId="TOC9">
    <w:name w:val="toc 9"/>
    <w:basedOn w:val="Normal"/>
    <w:next w:val="Normal"/>
    <w:autoRedefine/>
    <w:uiPriority w:val="39"/>
    <w:semiHidden/>
    <w:unhideWhenUsed/>
    <w:rsid w:val="00B2449B"/>
    <w:pPr>
      <w:spacing w:after="100"/>
      <w:ind w:left="1920"/>
    </w:pPr>
  </w:style>
  <w:style w:type="paragraph" w:styleId="TOCHeading">
    <w:name w:val="TOC Heading"/>
    <w:basedOn w:val="Heading1"/>
    <w:next w:val="Normal"/>
    <w:uiPriority w:val="39"/>
    <w:semiHidden/>
    <w:unhideWhenUsed/>
    <w:qFormat/>
    <w:rsid w:val="00B2449B"/>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9943">
      <w:bodyDiv w:val="1"/>
      <w:marLeft w:val="0"/>
      <w:marRight w:val="0"/>
      <w:marTop w:val="0"/>
      <w:marBottom w:val="0"/>
      <w:divBdr>
        <w:top w:val="none" w:sz="0" w:space="0" w:color="auto"/>
        <w:left w:val="none" w:sz="0" w:space="0" w:color="auto"/>
        <w:bottom w:val="none" w:sz="0" w:space="0" w:color="auto"/>
        <w:right w:val="none" w:sz="0" w:space="0" w:color="auto"/>
      </w:divBdr>
    </w:div>
    <w:div w:id="52697344">
      <w:bodyDiv w:val="1"/>
      <w:marLeft w:val="0"/>
      <w:marRight w:val="0"/>
      <w:marTop w:val="0"/>
      <w:marBottom w:val="0"/>
      <w:divBdr>
        <w:top w:val="none" w:sz="0" w:space="0" w:color="auto"/>
        <w:left w:val="none" w:sz="0" w:space="0" w:color="auto"/>
        <w:bottom w:val="none" w:sz="0" w:space="0" w:color="auto"/>
        <w:right w:val="none" w:sz="0" w:space="0" w:color="auto"/>
      </w:divBdr>
    </w:div>
    <w:div w:id="139271274">
      <w:bodyDiv w:val="1"/>
      <w:marLeft w:val="0"/>
      <w:marRight w:val="0"/>
      <w:marTop w:val="0"/>
      <w:marBottom w:val="0"/>
      <w:divBdr>
        <w:top w:val="none" w:sz="0" w:space="0" w:color="auto"/>
        <w:left w:val="none" w:sz="0" w:space="0" w:color="auto"/>
        <w:bottom w:val="none" w:sz="0" w:space="0" w:color="auto"/>
        <w:right w:val="none" w:sz="0" w:space="0" w:color="auto"/>
      </w:divBdr>
    </w:div>
    <w:div w:id="217546680">
      <w:bodyDiv w:val="1"/>
      <w:marLeft w:val="0"/>
      <w:marRight w:val="0"/>
      <w:marTop w:val="0"/>
      <w:marBottom w:val="0"/>
      <w:divBdr>
        <w:top w:val="none" w:sz="0" w:space="0" w:color="auto"/>
        <w:left w:val="none" w:sz="0" w:space="0" w:color="auto"/>
        <w:bottom w:val="none" w:sz="0" w:space="0" w:color="auto"/>
        <w:right w:val="none" w:sz="0" w:space="0" w:color="auto"/>
      </w:divBdr>
    </w:div>
    <w:div w:id="287245381">
      <w:bodyDiv w:val="1"/>
      <w:marLeft w:val="0"/>
      <w:marRight w:val="0"/>
      <w:marTop w:val="0"/>
      <w:marBottom w:val="0"/>
      <w:divBdr>
        <w:top w:val="none" w:sz="0" w:space="0" w:color="auto"/>
        <w:left w:val="none" w:sz="0" w:space="0" w:color="auto"/>
        <w:bottom w:val="none" w:sz="0" w:space="0" w:color="auto"/>
        <w:right w:val="none" w:sz="0" w:space="0" w:color="auto"/>
      </w:divBdr>
    </w:div>
    <w:div w:id="364528832">
      <w:bodyDiv w:val="1"/>
      <w:marLeft w:val="0"/>
      <w:marRight w:val="0"/>
      <w:marTop w:val="0"/>
      <w:marBottom w:val="0"/>
      <w:divBdr>
        <w:top w:val="none" w:sz="0" w:space="0" w:color="auto"/>
        <w:left w:val="none" w:sz="0" w:space="0" w:color="auto"/>
        <w:bottom w:val="none" w:sz="0" w:space="0" w:color="auto"/>
        <w:right w:val="none" w:sz="0" w:space="0" w:color="auto"/>
      </w:divBdr>
    </w:div>
    <w:div w:id="514422351">
      <w:bodyDiv w:val="1"/>
      <w:marLeft w:val="0"/>
      <w:marRight w:val="0"/>
      <w:marTop w:val="0"/>
      <w:marBottom w:val="0"/>
      <w:divBdr>
        <w:top w:val="none" w:sz="0" w:space="0" w:color="auto"/>
        <w:left w:val="none" w:sz="0" w:space="0" w:color="auto"/>
        <w:bottom w:val="none" w:sz="0" w:space="0" w:color="auto"/>
        <w:right w:val="none" w:sz="0" w:space="0" w:color="auto"/>
      </w:divBdr>
    </w:div>
    <w:div w:id="548347079">
      <w:bodyDiv w:val="1"/>
      <w:marLeft w:val="0"/>
      <w:marRight w:val="0"/>
      <w:marTop w:val="0"/>
      <w:marBottom w:val="0"/>
      <w:divBdr>
        <w:top w:val="none" w:sz="0" w:space="0" w:color="auto"/>
        <w:left w:val="none" w:sz="0" w:space="0" w:color="auto"/>
        <w:bottom w:val="none" w:sz="0" w:space="0" w:color="auto"/>
        <w:right w:val="none" w:sz="0" w:space="0" w:color="auto"/>
      </w:divBdr>
    </w:div>
    <w:div w:id="581187333">
      <w:bodyDiv w:val="1"/>
      <w:marLeft w:val="0"/>
      <w:marRight w:val="0"/>
      <w:marTop w:val="0"/>
      <w:marBottom w:val="0"/>
      <w:divBdr>
        <w:top w:val="none" w:sz="0" w:space="0" w:color="auto"/>
        <w:left w:val="none" w:sz="0" w:space="0" w:color="auto"/>
        <w:bottom w:val="none" w:sz="0" w:space="0" w:color="auto"/>
        <w:right w:val="none" w:sz="0" w:space="0" w:color="auto"/>
      </w:divBdr>
    </w:div>
    <w:div w:id="684214596">
      <w:bodyDiv w:val="1"/>
      <w:marLeft w:val="0"/>
      <w:marRight w:val="0"/>
      <w:marTop w:val="0"/>
      <w:marBottom w:val="0"/>
      <w:divBdr>
        <w:top w:val="none" w:sz="0" w:space="0" w:color="auto"/>
        <w:left w:val="none" w:sz="0" w:space="0" w:color="auto"/>
        <w:bottom w:val="none" w:sz="0" w:space="0" w:color="auto"/>
        <w:right w:val="none" w:sz="0" w:space="0" w:color="auto"/>
      </w:divBdr>
    </w:div>
    <w:div w:id="731851011">
      <w:bodyDiv w:val="1"/>
      <w:marLeft w:val="0"/>
      <w:marRight w:val="0"/>
      <w:marTop w:val="0"/>
      <w:marBottom w:val="0"/>
      <w:divBdr>
        <w:top w:val="none" w:sz="0" w:space="0" w:color="auto"/>
        <w:left w:val="none" w:sz="0" w:space="0" w:color="auto"/>
        <w:bottom w:val="none" w:sz="0" w:space="0" w:color="auto"/>
        <w:right w:val="none" w:sz="0" w:space="0" w:color="auto"/>
      </w:divBdr>
    </w:div>
    <w:div w:id="778528712">
      <w:bodyDiv w:val="1"/>
      <w:marLeft w:val="0"/>
      <w:marRight w:val="0"/>
      <w:marTop w:val="0"/>
      <w:marBottom w:val="0"/>
      <w:divBdr>
        <w:top w:val="none" w:sz="0" w:space="0" w:color="auto"/>
        <w:left w:val="none" w:sz="0" w:space="0" w:color="auto"/>
        <w:bottom w:val="none" w:sz="0" w:space="0" w:color="auto"/>
        <w:right w:val="none" w:sz="0" w:space="0" w:color="auto"/>
      </w:divBdr>
    </w:div>
    <w:div w:id="804854898">
      <w:bodyDiv w:val="1"/>
      <w:marLeft w:val="0"/>
      <w:marRight w:val="0"/>
      <w:marTop w:val="0"/>
      <w:marBottom w:val="0"/>
      <w:divBdr>
        <w:top w:val="none" w:sz="0" w:space="0" w:color="auto"/>
        <w:left w:val="none" w:sz="0" w:space="0" w:color="auto"/>
        <w:bottom w:val="none" w:sz="0" w:space="0" w:color="auto"/>
        <w:right w:val="none" w:sz="0" w:space="0" w:color="auto"/>
      </w:divBdr>
    </w:div>
    <w:div w:id="821777223">
      <w:bodyDiv w:val="1"/>
      <w:marLeft w:val="0"/>
      <w:marRight w:val="0"/>
      <w:marTop w:val="0"/>
      <w:marBottom w:val="0"/>
      <w:divBdr>
        <w:top w:val="none" w:sz="0" w:space="0" w:color="auto"/>
        <w:left w:val="none" w:sz="0" w:space="0" w:color="auto"/>
        <w:bottom w:val="none" w:sz="0" w:space="0" w:color="auto"/>
        <w:right w:val="none" w:sz="0" w:space="0" w:color="auto"/>
      </w:divBdr>
    </w:div>
    <w:div w:id="852492503">
      <w:bodyDiv w:val="1"/>
      <w:marLeft w:val="0"/>
      <w:marRight w:val="0"/>
      <w:marTop w:val="0"/>
      <w:marBottom w:val="0"/>
      <w:divBdr>
        <w:top w:val="none" w:sz="0" w:space="0" w:color="auto"/>
        <w:left w:val="none" w:sz="0" w:space="0" w:color="auto"/>
        <w:bottom w:val="none" w:sz="0" w:space="0" w:color="auto"/>
        <w:right w:val="none" w:sz="0" w:space="0" w:color="auto"/>
      </w:divBdr>
    </w:div>
    <w:div w:id="951135257">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156721198">
      <w:bodyDiv w:val="1"/>
      <w:marLeft w:val="0"/>
      <w:marRight w:val="0"/>
      <w:marTop w:val="0"/>
      <w:marBottom w:val="0"/>
      <w:divBdr>
        <w:top w:val="none" w:sz="0" w:space="0" w:color="auto"/>
        <w:left w:val="none" w:sz="0" w:space="0" w:color="auto"/>
        <w:bottom w:val="none" w:sz="0" w:space="0" w:color="auto"/>
        <w:right w:val="none" w:sz="0" w:space="0" w:color="auto"/>
      </w:divBdr>
    </w:div>
    <w:div w:id="1169639233">
      <w:bodyDiv w:val="1"/>
      <w:marLeft w:val="0"/>
      <w:marRight w:val="0"/>
      <w:marTop w:val="0"/>
      <w:marBottom w:val="0"/>
      <w:divBdr>
        <w:top w:val="none" w:sz="0" w:space="0" w:color="auto"/>
        <w:left w:val="none" w:sz="0" w:space="0" w:color="auto"/>
        <w:bottom w:val="none" w:sz="0" w:space="0" w:color="auto"/>
        <w:right w:val="none" w:sz="0" w:space="0" w:color="auto"/>
      </w:divBdr>
    </w:div>
    <w:div w:id="1222133538">
      <w:bodyDiv w:val="1"/>
      <w:marLeft w:val="0"/>
      <w:marRight w:val="0"/>
      <w:marTop w:val="0"/>
      <w:marBottom w:val="0"/>
      <w:divBdr>
        <w:top w:val="none" w:sz="0" w:space="0" w:color="auto"/>
        <w:left w:val="none" w:sz="0" w:space="0" w:color="auto"/>
        <w:bottom w:val="none" w:sz="0" w:space="0" w:color="auto"/>
        <w:right w:val="none" w:sz="0" w:space="0" w:color="auto"/>
      </w:divBdr>
    </w:div>
    <w:div w:id="1258253382">
      <w:bodyDiv w:val="1"/>
      <w:marLeft w:val="0"/>
      <w:marRight w:val="0"/>
      <w:marTop w:val="0"/>
      <w:marBottom w:val="0"/>
      <w:divBdr>
        <w:top w:val="none" w:sz="0" w:space="0" w:color="auto"/>
        <w:left w:val="none" w:sz="0" w:space="0" w:color="auto"/>
        <w:bottom w:val="none" w:sz="0" w:space="0" w:color="auto"/>
        <w:right w:val="none" w:sz="0" w:space="0" w:color="auto"/>
      </w:divBdr>
    </w:div>
    <w:div w:id="1262495373">
      <w:bodyDiv w:val="1"/>
      <w:marLeft w:val="0"/>
      <w:marRight w:val="0"/>
      <w:marTop w:val="0"/>
      <w:marBottom w:val="0"/>
      <w:divBdr>
        <w:top w:val="none" w:sz="0" w:space="0" w:color="auto"/>
        <w:left w:val="none" w:sz="0" w:space="0" w:color="auto"/>
        <w:bottom w:val="none" w:sz="0" w:space="0" w:color="auto"/>
        <w:right w:val="none" w:sz="0" w:space="0" w:color="auto"/>
      </w:divBdr>
    </w:div>
    <w:div w:id="1330134880">
      <w:bodyDiv w:val="1"/>
      <w:marLeft w:val="0"/>
      <w:marRight w:val="0"/>
      <w:marTop w:val="0"/>
      <w:marBottom w:val="0"/>
      <w:divBdr>
        <w:top w:val="none" w:sz="0" w:space="0" w:color="auto"/>
        <w:left w:val="none" w:sz="0" w:space="0" w:color="auto"/>
        <w:bottom w:val="none" w:sz="0" w:space="0" w:color="auto"/>
        <w:right w:val="none" w:sz="0" w:space="0" w:color="auto"/>
      </w:divBdr>
    </w:div>
    <w:div w:id="1465535958">
      <w:bodyDiv w:val="1"/>
      <w:marLeft w:val="0"/>
      <w:marRight w:val="0"/>
      <w:marTop w:val="0"/>
      <w:marBottom w:val="0"/>
      <w:divBdr>
        <w:top w:val="none" w:sz="0" w:space="0" w:color="auto"/>
        <w:left w:val="none" w:sz="0" w:space="0" w:color="auto"/>
        <w:bottom w:val="none" w:sz="0" w:space="0" w:color="auto"/>
        <w:right w:val="none" w:sz="0" w:space="0" w:color="auto"/>
      </w:divBdr>
    </w:div>
    <w:div w:id="1523395857">
      <w:bodyDiv w:val="1"/>
      <w:marLeft w:val="0"/>
      <w:marRight w:val="0"/>
      <w:marTop w:val="0"/>
      <w:marBottom w:val="0"/>
      <w:divBdr>
        <w:top w:val="none" w:sz="0" w:space="0" w:color="auto"/>
        <w:left w:val="none" w:sz="0" w:space="0" w:color="auto"/>
        <w:bottom w:val="none" w:sz="0" w:space="0" w:color="auto"/>
        <w:right w:val="none" w:sz="0" w:space="0" w:color="auto"/>
      </w:divBdr>
    </w:div>
    <w:div w:id="1553080590">
      <w:bodyDiv w:val="1"/>
      <w:marLeft w:val="0"/>
      <w:marRight w:val="0"/>
      <w:marTop w:val="0"/>
      <w:marBottom w:val="0"/>
      <w:divBdr>
        <w:top w:val="none" w:sz="0" w:space="0" w:color="auto"/>
        <w:left w:val="none" w:sz="0" w:space="0" w:color="auto"/>
        <w:bottom w:val="none" w:sz="0" w:space="0" w:color="auto"/>
        <w:right w:val="none" w:sz="0" w:space="0" w:color="auto"/>
      </w:divBdr>
    </w:div>
    <w:div w:id="1557082854">
      <w:bodyDiv w:val="1"/>
      <w:marLeft w:val="0"/>
      <w:marRight w:val="0"/>
      <w:marTop w:val="0"/>
      <w:marBottom w:val="0"/>
      <w:divBdr>
        <w:top w:val="none" w:sz="0" w:space="0" w:color="auto"/>
        <w:left w:val="none" w:sz="0" w:space="0" w:color="auto"/>
        <w:bottom w:val="none" w:sz="0" w:space="0" w:color="auto"/>
        <w:right w:val="none" w:sz="0" w:space="0" w:color="auto"/>
      </w:divBdr>
    </w:div>
    <w:div w:id="1710060608">
      <w:bodyDiv w:val="1"/>
      <w:marLeft w:val="0"/>
      <w:marRight w:val="0"/>
      <w:marTop w:val="0"/>
      <w:marBottom w:val="0"/>
      <w:divBdr>
        <w:top w:val="none" w:sz="0" w:space="0" w:color="auto"/>
        <w:left w:val="none" w:sz="0" w:space="0" w:color="auto"/>
        <w:bottom w:val="none" w:sz="0" w:space="0" w:color="auto"/>
        <w:right w:val="none" w:sz="0" w:space="0" w:color="auto"/>
      </w:divBdr>
    </w:div>
    <w:div w:id="1718629376">
      <w:bodyDiv w:val="1"/>
      <w:marLeft w:val="0"/>
      <w:marRight w:val="0"/>
      <w:marTop w:val="0"/>
      <w:marBottom w:val="0"/>
      <w:divBdr>
        <w:top w:val="none" w:sz="0" w:space="0" w:color="auto"/>
        <w:left w:val="none" w:sz="0" w:space="0" w:color="auto"/>
        <w:bottom w:val="none" w:sz="0" w:space="0" w:color="auto"/>
        <w:right w:val="none" w:sz="0" w:space="0" w:color="auto"/>
      </w:divBdr>
    </w:div>
    <w:div w:id="1757434886">
      <w:bodyDiv w:val="1"/>
      <w:marLeft w:val="0"/>
      <w:marRight w:val="0"/>
      <w:marTop w:val="0"/>
      <w:marBottom w:val="0"/>
      <w:divBdr>
        <w:top w:val="none" w:sz="0" w:space="0" w:color="auto"/>
        <w:left w:val="none" w:sz="0" w:space="0" w:color="auto"/>
        <w:bottom w:val="none" w:sz="0" w:space="0" w:color="auto"/>
        <w:right w:val="none" w:sz="0" w:space="0" w:color="auto"/>
      </w:divBdr>
    </w:div>
    <w:div w:id="1836913545">
      <w:bodyDiv w:val="1"/>
      <w:marLeft w:val="0"/>
      <w:marRight w:val="0"/>
      <w:marTop w:val="0"/>
      <w:marBottom w:val="0"/>
      <w:divBdr>
        <w:top w:val="none" w:sz="0" w:space="0" w:color="auto"/>
        <w:left w:val="none" w:sz="0" w:space="0" w:color="auto"/>
        <w:bottom w:val="none" w:sz="0" w:space="0" w:color="auto"/>
        <w:right w:val="none" w:sz="0" w:space="0" w:color="auto"/>
      </w:divBdr>
    </w:div>
    <w:div w:id="1907570581">
      <w:bodyDiv w:val="1"/>
      <w:marLeft w:val="0"/>
      <w:marRight w:val="0"/>
      <w:marTop w:val="0"/>
      <w:marBottom w:val="0"/>
      <w:divBdr>
        <w:top w:val="none" w:sz="0" w:space="0" w:color="auto"/>
        <w:left w:val="none" w:sz="0" w:space="0" w:color="auto"/>
        <w:bottom w:val="none" w:sz="0" w:space="0" w:color="auto"/>
        <w:right w:val="none" w:sz="0" w:space="0" w:color="auto"/>
      </w:divBdr>
    </w:div>
    <w:div w:id="1998611338">
      <w:bodyDiv w:val="1"/>
      <w:marLeft w:val="0"/>
      <w:marRight w:val="0"/>
      <w:marTop w:val="0"/>
      <w:marBottom w:val="0"/>
      <w:divBdr>
        <w:top w:val="none" w:sz="0" w:space="0" w:color="auto"/>
        <w:left w:val="none" w:sz="0" w:space="0" w:color="auto"/>
        <w:bottom w:val="none" w:sz="0" w:space="0" w:color="auto"/>
        <w:right w:val="none" w:sz="0" w:space="0" w:color="auto"/>
      </w:divBdr>
    </w:div>
    <w:div w:id="2091660657">
      <w:bodyDiv w:val="1"/>
      <w:marLeft w:val="0"/>
      <w:marRight w:val="0"/>
      <w:marTop w:val="0"/>
      <w:marBottom w:val="0"/>
      <w:divBdr>
        <w:top w:val="none" w:sz="0" w:space="0" w:color="auto"/>
        <w:left w:val="none" w:sz="0" w:space="0" w:color="auto"/>
        <w:bottom w:val="none" w:sz="0" w:space="0" w:color="auto"/>
        <w:right w:val="none" w:sz="0" w:space="0" w:color="auto"/>
      </w:divBdr>
    </w:div>
    <w:div w:id="2092504868">
      <w:bodyDiv w:val="1"/>
      <w:marLeft w:val="0"/>
      <w:marRight w:val="0"/>
      <w:marTop w:val="0"/>
      <w:marBottom w:val="0"/>
      <w:divBdr>
        <w:top w:val="none" w:sz="0" w:space="0" w:color="auto"/>
        <w:left w:val="none" w:sz="0" w:space="0" w:color="auto"/>
        <w:bottom w:val="none" w:sz="0" w:space="0" w:color="auto"/>
        <w:right w:val="none" w:sz="0" w:space="0" w:color="auto"/>
      </w:divBdr>
    </w:div>
    <w:div w:id="20982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984E-C85E-4F3D-A035-C92E8529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4755</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31796</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Robert Mohamedeen</cp:lastModifiedBy>
  <cp:revision>4</cp:revision>
  <cp:lastPrinted>2015-01-16T21:30:00Z</cp:lastPrinted>
  <dcterms:created xsi:type="dcterms:W3CDTF">2018-03-07T13:43:00Z</dcterms:created>
  <dcterms:modified xsi:type="dcterms:W3CDTF">2018-03-08T22:10:00Z</dcterms:modified>
</cp:coreProperties>
</file>