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8B" w:rsidRDefault="00A57617" w:rsidP="00D1288B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Appendix Table E-21</w:t>
      </w:r>
      <w:r w:rsidR="00D1288B" w:rsidRPr="00D1288B">
        <w:rPr>
          <w:rFonts w:ascii="Arial" w:eastAsia="Times New Roman" w:hAnsi="Arial" w:cs="Arial"/>
          <w:b/>
          <w:sz w:val="20"/>
          <w:szCs w:val="20"/>
        </w:rPr>
        <w:t>. Data abstraction of systematic reviews in trials of supportive therapy</w:t>
      </w:r>
    </w:p>
    <w:p w:rsidR="00576BF2" w:rsidRDefault="00576BF2" w:rsidP="00576BF2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6"/>
        <w:gridCol w:w="2078"/>
        <w:gridCol w:w="1514"/>
        <w:gridCol w:w="1466"/>
        <w:gridCol w:w="1627"/>
        <w:gridCol w:w="2208"/>
        <w:gridCol w:w="3626"/>
      </w:tblGrid>
      <w:tr w:rsidR="00576BF2" w:rsidRPr="00774ABD" w:rsidTr="00F20F33">
        <w:trPr>
          <w:trHeight w:hRule="exact" w:val="929"/>
          <w:tblHeader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before="17" w:line="200" w:lineRule="exact"/>
              <w:rPr>
                <w:sz w:val="20"/>
                <w:szCs w:val="20"/>
              </w:rPr>
            </w:pPr>
          </w:p>
          <w:p w:rsidR="00576BF2" w:rsidRDefault="00576BF2" w:rsidP="00926BF2">
            <w:pPr>
              <w:spacing w:line="272" w:lineRule="auto"/>
              <w:ind w:left="25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Databases and Timeperiod Covered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188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</w:t>
            </w:r>
          </w:p>
          <w:p w:rsidR="00576BF2" w:rsidRDefault="00576BF2" w:rsidP="00926BF2">
            <w:pPr>
              <w:spacing w:before="28" w:line="272" w:lineRule="auto"/>
              <w:ind w:left="25" w:righ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Studies Number of Patients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188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</w:t>
            </w:r>
          </w:p>
          <w:p w:rsidR="00576BF2" w:rsidRDefault="00576BF2" w:rsidP="00926BF2">
            <w:pPr>
              <w:spacing w:before="28" w:line="272" w:lineRule="auto"/>
              <w:ind w:left="25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Identified Articles: Study Designs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before="17" w:line="200" w:lineRule="exact"/>
              <w:rPr>
                <w:sz w:val="20"/>
                <w:szCs w:val="20"/>
              </w:rPr>
            </w:pPr>
          </w:p>
          <w:p w:rsidR="00576BF2" w:rsidRDefault="00576BF2" w:rsidP="00926BF2">
            <w:pPr>
              <w:spacing w:line="272" w:lineRule="auto"/>
              <w:ind w:left="25" w:right="5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 Populations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12" w:line="240" w:lineRule="exact"/>
              <w:rPr>
                <w:sz w:val="24"/>
                <w:szCs w:val="24"/>
              </w:rPr>
            </w:pPr>
          </w:p>
          <w:p w:rsidR="00576BF2" w:rsidRDefault="00576BF2" w:rsidP="00926BF2">
            <w:pPr>
              <w:spacing w:line="272" w:lineRule="auto"/>
              <w:ind w:left="25" w:right="3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 Interventions</w:t>
            </w:r>
          </w:p>
        </w:tc>
      </w:tr>
      <w:tr w:rsidR="00576BF2" w:rsidRPr="00774ABD" w:rsidTr="00926BF2">
        <w:trPr>
          <w:trHeight w:hRule="exact" w:val="3934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Buckley 2015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review the effects of</w:t>
            </w:r>
          </w:p>
          <w:p w:rsidR="00576BF2" w:rsidRDefault="00576BF2" w:rsidP="00926BF2">
            <w:pPr>
              <w:spacing w:before="16" w:line="258" w:lineRule="auto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supportive therapy compared with usual care in patients with schizophrenia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Cochrane</w:t>
            </w:r>
          </w:p>
          <w:p w:rsidR="00576BF2" w:rsidRDefault="00576BF2" w:rsidP="00926BF2">
            <w:pPr>
              <w:spacing w:before="16" w:line="258" w:lineRule="auto"/>
              <w:ind w:left="25" w:righ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Schizophrenia Group Trials Register (28</w:t>
            </w: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November 2012)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studies vs.</w:t>
            </w:r>
          </w:p>
          <w:p w:rsidR="00576BF2" w:rsidRDefault="00576BF2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 care</w:t>
            </w:r>
          </w:p>
          <w:p w:rsidR="00576BF2" w:rsidRDefault="00576BF2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(N=822)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Randomized</w:t>
            </w:r>
          </w:p>
          <w:p w:rsidR="00576BF2" w:rsidRDefault="00576BF2" w:rsidP="00926BF2">
            <w:pPr>
              <w:spacing w:before="16" w:line="258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controlled trials of supportive therapy compared with usual care reporting relapse, hospitalization, or</w:t>
            </w:r>
          </w:p>
          <w:p w:rsidR="00576BF2" w:rsidRDefault="00576BF2" w:rsidP="00926BF2">
            <w:pPr>
              <w:spacing w:line="258" w:lineRule="auto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general functioning as primary outcomes with multiple secondary outcomes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65325F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Schizophrenia or schizophrenia-like </w:t>
            </w:r>
            <w:r w:rsidR="00576BF2">
              <w:rPr>
                <w:rFonts w:ascii="Arial" w:eastAsia="Arial" w:hAnsi="Arial" w:cs="Arial"/>
                <w:sz w:val="18"/>
                <w:szCs w:val="18"/>
              </w:rPr>
              <w:t>illnesses using any criteria including trials where it was implied 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 the majority of participants had a severe mental </w:t>
            </w:r>
            <w:r w:rsidR="00576BF2">
              <w:rPr>
                <w:rFonts w:ascii="Arial" w:eastAsia="Arial" w:hAnsi="Arial" w:cs="Arial"/>
                <w:sz w:val="18"/>
                <w:szCs w:val="18"/>
              </w:rPr>
              <w:t>illness that was likely to be schizophrenia.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Supportive therapy and supportive care</w:t>
            </w:r>
          </w:p>
          <w:p w:rsidR="00576BF2" w:rsidRDefault="00576BF2" w:rsidP="00926BF2">
            <w:pPr>
              <w:spacing w:before="16" w:line="258" w:lineRule="auto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(provided by a single person with the main purpose of maintaining current functioning or assisting pre-existing coping abilities in people who have a diagnosis of schizophrenia or schizophrenia-like illness.</w:t>
            </w:r>
          </w:p>
          <w:p w:rsidR="00576BF2" w:rsidRDefault="00576BF2" w:rsidP="00926BF2">
            <w:pPr>
              <w:spacing w:line="258" w:lineRule="auto"/>
              <w:ind w:left="25" w:right="-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therapies can be aimed at individuals or groups of people) vs. standard care (health care a person would normally receive had they not been included in the research trial, including interventions such as medication, hospitalization, community psychiatric nursing input and/or day hospital).</w:t>
            </w:r>
          </w:p>
        </w:tc>
      </w:tr>
    </w:tbl>
    <w:p w:rsidR="00576BF2" w:rsidRDefault="00576BF2" w:rsidP="00576BF2">
      <w:pPr>
        <w:sectPr w:rsidR="00576BF2" w:rsidSect="00FD33DD">
          <w:footerReference w:type="default" r:id="rId8"/>
          <w:pgSz w:w="15840" w:h="12240" w:orient="landscape" w:code="1"/>
          <w:pgMar w:top="980" w:right="720" w:bottom="576" w:left="720" w:header="720" w:footer="432" w:gutter="0"/>
          <w:paperSrc w:first="15" w:other="15"/>
          <w:pgNumType w:start="137"/>
          <w:cols w:space="720"/>
        </w:sectPr>
      </w:pPr>
    </w:p>
    <w:p w:rsidR="00576BF2" w:rsidRDefault="00576BF2" w:rsidP="00576BF2">
      <w:pPr>
        <w:spacing w:before="9" w:line="80" w:lineRule="exact"/>
        <w:rPr>
          <w:sz w:val="8"/>
          <w:szCs w:val="8"/>
        </w:rPr>
      </w:pPr>
    </w:p>
    <w:tbl>
      <w:tblPr>
        <w:tblW w:w="13744" w:type="dxa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6"/>
        <w:gridCol w:w="1886"/>
        <w:gridCol w:w="5076"/>
        <w:gridCol w:w="1723"/>
        <w:gridCol w:w="2369"/>
        <w:gridCol w:w="1224"/>
      </w:tblGrid>
      <w:tr w:rsidR="00576BF2" w:rsidRPr="00774ABD" w:rsidTr="00F20F33">
        <w:trPr>
          <w:trHeight w:hRule="exact" w:val="929"/>
          <w:tblHeader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Reported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12" w:line="280" w:lineRule="exact"/>
              <w:rPr>
                <w:sz w:val="28"/>
                <w:szCs w:val="28"/>
              </w:rPr>
            </w:pP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Effectiveness Outcomes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7" w:line="280" w:lineRule="exact"/>
              <w:rPr>
                <w:sz w:val="28"/>
                <w:szCs w:val="28"/>
              </w:rPr>
            </w:pP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12" w:line="240" w:lineRule="exact"/>
              <w:rPr>
                <w:sz w:val="24"/>
                <w:szCs w:val="24"/>
              </w:rPr>
            </w:pPr>
          </w:p>
          <w:p w:rsidR="00576BF2" w:rsidRDefault="00576BF2" w:rsidP="00926BF2">
            <w:pPr>
              <w:spacing w:line="272" w:lineRule="auto"/>
              <w:ind w:left="25" w:right="1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Funding/ Comments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Pr="00774ABD" w:rsidRDefault="00576BF2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576BF2" w:rsidRPr="00774ABD" w:rsidRDefault="00576BF2" w:rsidP="00926BF2">
            <w:pPr>
              <w:spacing w:before="12" w:line="240" w:lineRule="exact"/>
              <w:rPr>
                <w:sz w:val="24"/>
                <w:szCs w:val="24"/>
              </w:rPr>
            </w:pP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576BF2" w:rsidRDefault="00576BF2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576BF2" w:rsidRPr="00774ABD" w:rsidTr="00576BF2">
        <w:trPr>
          <w:trHeight w:hRule="exact" w:val="3934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Buckley 2015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Change in general</w:t>
            </w:r>
          </w:p>
          <w:p w:rsidR="00576BF2" w:rsidRDefault="00576BF2" w:rsidP="00926BF2">
            <w:pPr>
              <w:spacing w:before="16" w:line="258" w:lineRule="auto"/>
              <w:ind w:left="25" w:righ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functioning quality of life Overall symptoms Discontinuation of treatment</w:t>
            </w: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Relapse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Supportive therapy or care vs. standard care</w:t>
            </w:r>
          </w:p>
          <w:p w:rsidR="00576BF2" w:rsidRDefault="00576BF2" w:rsidP="00926BF2">
            <w:pPr>
              <w:spacing w:before="16" w:line="258" w:lineRule="auto"/>
              <w:ind w:left="25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Change in general functioning (GAS): Mean general functioning in the intervention groups was 1.4 higher (95% CI</w:t>
            </w: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5.09 lower to 7.89 higher)</w:t>
            </w:r>
          </w:p>
          <w:p w:rsidR="00576BF2" w:rsidRDefault="00576BF2" w:rsidP="00926BF2">
            <w:pPr>
              <w:spacing w:before="16" w:line="258" w:lineRule="auto"/>
              <w:ind w:left="25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Quality of life: Mean quality of life in the intervention groups was 2.73 lower (95% CI 6.04 lower to 0.58 higher)</w:t>
            </w:r>
          </w:p>
          <w:p w:rsidR="00576BF2" w:rsidRDefault="00576BF2" w:rsidP="00926BF2">
            <w:pPr>
              <w:spacing w:line="258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symptoms: Mental state: No clinically important improvement (followup 1 to 2 years) (RR 0.95, 95% CI 0.82 to</w:t>
            </w:r>
          </w:p>
          <w:p w:rsidR="00576BF2" w:rsidRDefault="00576BF2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1.11)</w:t>
            </w:r>
          </w:p>
          <w:p w:rsidR="00576BF2" w:rsidRDefault="00576BF2" w:rsidP="00926BF2">
            <w:pPr>
              <w:spacing w:before="16" w:line="258" w:lineRule="auto"/>
              <w:ind w:left="25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Discontinuation of treatment: (RR 0.86, 95% CI 0.53 to 1.4) Relapse: RR 0.96, 95% CI 0.44 to 2.11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Affinity Healthcare, Cheadle</w:t>
            </w:r>
          </w:p>
          <w:p w:rsidR="00576BF2" w:rsidRDefault="00576BF2" w:rsidP="00926BF2">
            <w:pPr>
              <w:spacing w:before="16" w:line="258" w:lineRule="auto"/>
              <w:ind w:left="2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Royal Hospital, UK. Leeds Community and Mental Health Services, NHS Teaching Trust, UK. Northumberland Tyne and Wear NHS Trust, UK.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BF2" w:rsidRDefault="00576BF2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576BF2" w:rsidRDefault="00576BF2" w:rsidP="00576BF2">
      <w:pPr>
        <w:spacing w:before="60" w:after="60"/>
        <w:rPr>
          <w:b/>
          <w:sz w:val="20"/>
        </w:rPr>
      </w:pPr>
      <w:r w:rsidRPr="009C4AAB">
        <w:rPr>
          <w:b/>
          <w:sz w:val="20"/>
        </w:rPr>
        <w:t>Please see Appendix B. Included Studies for full study references</w:t>
      </w:r>
    </w:p>
    <w:p w:rsidR="00576BF2" w:rsidRPr="00F1256A" w:rsidRDefault="00576BF2" w:rsidP="00576BF2">
      <w:pPr>
        <w:rPr>
          <w:sz w:val="18"/>
          <w:szCs w:val="18"/>
        </w:rPr>
      </w:pPr>
      <w:r w:rsidRPr="00F1256A">
        <w:rPr>
          <w:sz w:val="18"/>
          <w:szCs w:val="18"/>
        </w:rPr>
        <w:t>CI=confidence interval, GAS=Global Assessment Scale, N</w:t>
      </w:r>
      <w:r>
        <w:rPr>
          <w:sz w:val="18"/>
          <w:szCs w:val="18"/>
        </w:rPr>
        <w:t>HS=National Health Service, RR=relative r</w:t>
      </w:r>
      <w:r w:rsidRPr="00F1256A">
        <w:rPr>
          <w:sz w:val="18"/>
          <w:szCs w:val="18"/>
        </w:rPr>
        <w:t>isk, UK=United Kingdom</w:t>
      </w:r>
    </w:p>
    <w:sectPr w:rsidR="00576BF2" w:rsidRPr="00F1256A" w:rsidSect="001825CD">
      <w:footerReference w:type="default" r:id="rId9"/>
      <w:pgSz w:w="15840" w:h="12240" w:orient="landscape"/>
      <w:pgMar w:top="979" w:right="720" w:bottom="280" w:left="720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AB" w:rsidRDefault="00B414AB" w:rsidP="00317EF8">
      <w:r>
        <w:separator/>
      </w:r>
    </w:p>
  </w:endnote>
  <w:endnote w:type="continuationSeparator" w:id="1">
    <w:p w:rsidR="00B414AB" w:rsidRDefault="00B414AB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r w:rsidR="00664897">
      <w:fldChar w:fldCharType="begin"/>
    </w:r>
    <w:r>
      <w:instrText xml:space="preserve"> PAGE   \* MERGEFORMAT </w:instrText>
    </w:r>
    <w:r w:rsidR="00664897">
      <w:fldChar w:fldCharType="separate"/>
    </w:r>
    <w:r w:rsidR="00FD33DD">
      <w:rPr>
        <w:noProof/>
      </w:rPr>
      <w:t>137</w:t>
    </w:r>
    <w:r w:rsidR="00664897"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664897">
      <w:fldChar w:fldCharType="begin"/>
    </w:r>
    <w:r>
      <w:instrText xml:space="preserve"> PAGE   \* MERGEFORMAT </w:instrText>
    </w:r>
    <w:r w:rsidR="00664897">
      <w:fldChar w:fldCharType="separate"/>
    </w:r>
    <w:r w:rsidR="00FD33DD">
      <w:rPr>
        <w:noProof/>
      </w:rPr>
      <w:t>138</w:t>
    </w:r>
    <w:r w:rsidR="00664897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AB" w:rsidRDefault="00B414AB" w:rsidP="00317EF8">
      <w:r>
        <w:separator/>
      </w:r>
    </w:p>
  </w:footnote>
  <w:footnote w:type="continuationSeparator" w:id="1">
    <w:p w:rsidR="00B414AB" w:rsidRDefault="00B414AB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54E17"/>
    <w:rsid w:val="00066FD4"/>
    <w:rsid w:val="000802AC"/>
    <w:rsid w:val="000828E0"/>
    <w:rsid w:val="00083829"/>
    <w:rsid w:val="000839BB"/>
    <w:rsid w:val="00091BE8"/>
    <w:rsid w:val="0009217F"/>
    <w:rsid w:val="00097504"/>
    <w:rsid w:val="000A2B9B"/>
    <w:rsid w:val="000A3E70"/>
    <w:rsid w:val="000B22DD"/>
    <w:rsid w:val="000B6AD3"/>
    <w:rsid w:val="000C16C0"/>
    <w:rsid w:val="000C2BAF"/>
    <w:rsid w:val="000C6E57"/>
    <w:rsid w:val="000D1061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4044C"/>
    <w:rsid w:val="0015336C"/>
    <w:rsid w:val="00161946"/>
    <w:rsid w:val="001723C7"/>
    <w:rsid w:val="001749D3"/>
    <w:rsid w:val="00180836"/>
    <w:rsid w:val="001825CD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C6CC2"/>
    <w:rsid w:val="004C6F31"/>
    <w:rsid w:val="004D09DC"/>
    <w:rsid w:val="004D7017"/>
    <w:rsid w:val="004E0DC4"/>
    <w:rsid w:val="004E61EE"/>
    <w:rsid w:val="004F07CA"/>
    <w:rsid w:val="005012CC"/>
    <w:rsid w:val="00501619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6BFE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6489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CCE"/>
    <w:rsid w:val="007D5A53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14AB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297"/>
    <w:rsid w:val="00BA1775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C12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3D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2611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2018-03-03T11:22:00Z</dcterms:created>
  <dcterms:modified xsi:type="dcterms:W3CDTF">2018-03-05T05:10:00Z</dcterms:modified>
</cp:coreProperties>
</file>