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6A" w:rsidRDefault="00331D6A" w:rsidP="00331D6A">
      <w:pPr>
        <w:pStyle w:val="Heading1"/>
        <w:spacing w:after="0"/>
      </w:pPr>
    </w:p>
    <w:p w:rsidR="0040493F" w:rsidRDefault="00D1288B" w:rsidP="007513C9">
      <w:pPr>
        <w:pStyle w:val="Heading1"/>
        <w:rPr>
          <w:sz w:val="8"/>
          <w:szCs w:val="8"/>
        </w:rPr>
      </w:pPr>
      <w:r>
        <w:t>Appendix Table E-</w:t>
      </w:r>
      <w:r w:rsidR="0037342C">
        <w:t>11</w:t>
      </w:r>
      <w:r>
        <w:t>. Data a</w:t>
      </w:r>
      <w:r w:rsidRPr="00D1288B">
        <w:t>bstraction of randomized controlled trials of family interventions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42"/>
        <w:gridCol w:w="1373"/>
        <w:gridCol w:w="3406"/>
        <w:gridCol w:w="1783"/>
        <w:gridCol w:w="3374"/>
        <w:gridCol w:w="3060"/>
      </w:tblGrid>
      <w:tr w:rsidR="0040493F" w:rsidRPr="00774ABD" w:rsidTr="00F20F33">
        <w:trPr>
          <w:trHeight w:hRule="exact" w:val="1162"/>
          <w:tblHeader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before="10" w:line="110" w:lineRule="exact"/>
              <w:rPr>
                <w:sz w:val="11"/>
                <w:szCs w:val="11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before="5" w:line="280" w:lineRule="exact"/>
              <w:rPr>
                <w:sz w:val="28"/>
                <w:szCs w:val="28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</w:t>
            </w:r>
          </w:p>
          <w:p w:rsidR="0040493F" w:rsidRDefault="0040493F" w:rsidP="00926BF2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before="10" w:line="110" w:lineRule="exact"/>
              <w:rPr>
                <w:sz w:val="11"/>
                <w:szCs w:val="11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before="5" w:line="280" w:lineRule="exact"/>
              <w:rPr>
                <w:sz w:val="28"/>
                <w:szCs w:val="28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Interventions and</w:t>
            </w:r>
          </w:p>
          <w:p w:rsidR="0040493F" w:rsidRDefault="0040493F" w:rsidP="00926BF2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Ns per Group</w:t>
            </w:r>
          </w:p>
        </w:tc>
        <w:tc>
          <w:tcPr>
            <w:tcW w:w="3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before="10" w:line="110" w:lineRule="exact"/>
              <w:rPr>
                <w:sz w:val="11"/>
                <w:szCs w:val="11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Description of Intervention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before="10" w:line="110" w:lineRule="exact"/>
              <w:rPr>
                <w:sz w:val="11"/>
                <w:szCs w:val="11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Default="0040493F" w:rsidP="00926BF2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Description of Comparator</w:t>
            </w:r>
          </w:p>
        </w:tc>
      </w:tr>
      <w:tr w:rsidR="00AB0941" w:rsidRPr="00774ABD" w:rsidTr="00BF0BE3">
        <w:trPr>
          <w:trHeight w:hRule="exact" w:val="4422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941" w:rsidRDefault="00AB0941" w:rsidP="00AB0941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Dyck, 2000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941" w:rsidRDefault="00AB0941" w:rsidP="00AB0941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Large community health center in Spokane, Washington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941" w:rsidRDefault="00AB0941" w:rsidP="00AB0941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Diagnosis of schizophrenia or schizoaffective disorder, 18-45 years of age, enrollment in a community outpatient facility in Spokane, residence with family of origin or regular contact with family, patients with either a history of substance abuse or current substance abuse were not excluded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941" w:rsidRDefault="00AB0941" w:rsidP="00AB0941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Multifamily group:</w:t>
            </w:r>
            <w:r w:rsidR="00D806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4ABD">
              <w:rPr>
                <w:rFonts w:ascii="Arial" w:hAnsi="Arial" w:cs="Arial"/>
                <w:sz w:val="18"/>
                <w:szCs w:val="18"/>
              </w:rPr>
              <w:t>n=64</w:t>
            </w:r>
            <w:r w:rsidRPr="00774ABD">
              <w:rPr>
                <w:rFonts w:ascii="Arial" w:hAnsi="Arial" w:cs="Arial"/>
                <w:sz w:val="18"/>
                <w:szCs w:val="18"/>
              </w:rPr>
              <w:br/>
              <w:t>Standard care: n=31</w:t>
            </w:r>
          </w:p>
        </w:tc>
        <w:tc>
          <w:tcPr>
            <w:tcW w:w="3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941" w:rsidRDefault="00AB0941" w:rsidP="00AB0941">
            <w:pPr>
              <w:spacing w:line="226" w:lineRule="exact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Patients assigned to multiple-family group treatment received standard care plus the group treatment.</w:t>
            </w:r>
            <w:r w:rsidR="00D806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4ABD">
              <w:rPr>
                <w:rFonts w:ascii="Arial" w:hAnsi="Arial" w:cs="Arial"/>
                <w:sz w:val="18"/>
                <w:szCs w:val="18"/>
              </w:rPr>
              <w:t>Multiple-family group treatment was intended to improve illness management, social support, and coping skills for the patient and family members.</w:t>
            </w:r>
            <w:r w:rsidR="00D806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4ABD">
              <w:rPr>
                <w:rFonts w:ascii="Arial" w:hAnsi="Arial" w:cs="Arial"/>
                <w:sz w:val="18"/>
                <w:szCs w:val="18"/>
              </w:rPr>
              <w:t>The approach was based on the previous research reported by McFarlane and colleagues.</w:t>
            </w:r>
            <w:r w:rsidR="00D806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4ABD">
              <w:rPr>
                <w:rFonts w:ascii="Arial" w:hAnsi="Arial" w:cs="Arial"/>
                <w:sz w:val="18"/>
                <w:szCs w:val="18"/>
              </w:rPr>
              <w:t>Treatment interventions were designed to educate the family and patients about the biological underpinnings of schizophrenia and engage them in the treatment process by using a standardized protocol of videotapes, lecture, and written guidelines.</w:t>
            </w:r>
            <w:r w:rsidR="00D806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4ABD">
              <w:rPr>
                <w:rFonts w:ascii="Arial" w:hAnsi="Arial" w:cs="Arial"/>
                <w:sz w:val="18"/>
                <w:szCs w:val="18"/>
              </w:rPr>
              <w:t>Treatment compoents including ongoing support, formal clinical problem solving, and expansion of social support networks.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941" w:rsidRDefault="00AB0941" w:rsidP="00AB0941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color w:val="000000"/>
                <w:sz w:val="18"/>
                <w:szCs w:val="18"/>
              </w:rPr>
              <w:t>Patients assigned to standard care received usual services, including medication management, case management, and, for some patients, therapeutic and rehabilitation services.</w:t>
            </w:r>
            <w:r w:rsidR="00D806B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74ABD">
              <w:rPr>
                <w:rFonts w:ascii="Arial" w:hAnsi="Arial" w:cs="Arial"/>
                <w:color w:val="000000"/>
                <w:sz w:val="18"/>
                <w:szCs w:val="18"/>
              </w:rPr>
              <w:t>A treatment team consisting of a case manager, a nurse, a psychiatrist, and a social worker delivered the mental health services.</w:t>
            </w:r>
            <w:r w:rsidR="00D806B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74ABD">
              <w:rPr>
                <w:rFonts w:ascii="Arial" w:hAnsi="Arial" w:cs="Arial"/>
                <w:color w:val="000000"/>
                <w:sz w:val="18"/>
                <w:szCs w:val="18"/>
              </w:rPr>
              <w:t>The team provided clinical case management services and out-of-facility services as needed.</w:t>
            </w:r>
          </w:p>
        </w:tc>
      </w:tr>
      <w:tr w:rsidR="0040493F" w:rsidRPr="00774ABD" w:rsidTr="00BF0BE3">
        <w:trPr>
          <w:trHeight w:hRule="exact" w:val="3801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Garety 2008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Multicenter trial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 UK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Diagnosis of non-affective psychosis, age</w:t>
            </w:r>
          </w:p>
          <w:p w:rsidR="0040493F" w:rsidRDefault="0040493F" w:rsidP="00926BF2">
            <w:pPr>
              <w:spacing w:before="16" w:line="258" w:lineRule="auto"/>
              <w:ind w:left="25" w:right="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18-65, psychotic episode starting not more than 3 months before entering trial, rate of at least 4 on PANSS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Family intervention: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n=28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Usual care: 27</w:t>
            </w:r>
          </w:p>
        </w:tc>
        <w:tc>
          <w:tcPr>
            <w:tcW w:w="3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26" w:lineRule="exact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Family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intervention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emphasized</w:t>
            </w:r>
          </w:p>
          <w:p w:rsidR="0040493F" w:rsidRDefault="0040493F" w:rsidP="00926BF2">
            <w:pPr>
              <w:spacing w:before="17" w:line="258" w:lineRule="auto"/>
              <w:ind w:left="28" w:right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improving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communication,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offering discussion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up-to-date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information about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psychosis,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problem-solving, reducing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criticism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conflict, improving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activity,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emotional processing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grief,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loss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anger. There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particular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focus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 relapse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prevention,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including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how family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members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might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understand warning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signs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agree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 appropriated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intervention,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including medication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Usual care</w:t>
            </w:r>
          </w:p>
        </w:tc>
      </w:tr>
    </w:tbl>
    <w:p w:rsidR="0040493F" w:rsidRDefault="0040493F" w:rsidP="0040493F">
      <w:pPr>
        <w:sectPr w:rsidR="0040493F" w:rsidSect="00331D6A">
          <w:footerReference w:type="default" r:id="rId8"/>
          <w:pgSz w:w="15840" w:h="12240" w:orient="landscape"/>
          <w:pgMar w:top="980" w:right="660" w:bottom="280" w:left="620" w:header="720" w:footer="720" w:gutter="0"/>
          <w:pgNumType w:start="94"/>
          <w:cols w:space="720"/>
        </w:sectPr>
      </w:pPr>
    </w:p>
    <w:p w:rsidR="0040493F" w:rsidRDefault="0040493F" w:rsidP="0040493F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42"/>
        <w:gridCol w:w="1435"/>
        <w:gridCol w:w="1860"/>
        <w:gridCol w:w="1718"/>
        <w:gridCol w:w="883"/>
        <w:gridCol w:w="2398"/>
        <w:gridCol w:w="2712"/>
        <w:gridCol w:w="1135"/>
        <w:gridCol w:w="866"/>
      </w:tblGrid>
      <w:tr w:rsidR="0040493F" w:rsidRPr="00774ABD" w:rsidTr="00F20F33">
        <w:trPr>
          <w:trHeight w:hRule="exact" w:val="1162"/>
          <w:tblHeader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before="10" w:line="110" w:lineRule="exact"/>
              <w:rPr>
                <w:sz w:val="11"/>
                <w:szCs w:val="11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before="10" w:line="110" w:lineRule="exact"/>
              <w:rPr>
                <w:sz w:val="11"/>
                <w:szCs w:val="11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493F" w:rsidRPr="00774ABD" w:rsidRDefault="0040493F" w:rsidP="008D0E4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8D0E42">
            <w:pPr>
              <w:spacing w:before="9" w:line="240" w:lineRule="exact"/>
              <w:rPr>
                <w:sz w:val="24"/>
                <w:szCs w:val="24"/>
              </w:rPr>
            </w:pPr>
          </w:p>
          <w:p w:rsidR="0040493F" w:rsidRDefault="0040493F" w:rsidP="008D0E42">
            <w:pPr>
              <w:spacing w:line="272" w:lineRule="auto"/>
              <w:ind w:left="25" w:right="5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Age Gender Race/Ethnicity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before="5" w:line="280" w:lineRule="exact"/>
              <w:rPr>
                <w:sz w:val="28"/>
                <w:szCs w:val="28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Other Population</w:t>
            </w:r>
          </w:p>
          <w:p w:rsidR="0040493F" w:rsidRDefault="0040493F" w:rsidP="00926BF2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Characteristics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before="10" w:line="110" w:lineRule="exact"/>
              <w:rPr>
                <w:sz w:val="11"/>
                <w:szCs w:val="11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N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before="10" w:line="110" w:lineRule="exact"/>
              <w:rPr>
                <w:sz w:val="11"/>
                <w:szCs w:val="11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Benefits Outcomes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before="10" w:line="110" w:lineRule="exact"/>
              <w:rPr>
                <w:sz w:val="11"/>
                <w:szCs w:val="11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Harms Outcomes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before="10" w:line="110" w:lineRule="exact"/>
              <w:rPr>
                <w:sz w:val="11"/>
                <w:szCs w:val="11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Funding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before="5" w:line="280" w:lineRule="exact"/>
              <w:rPr>
                <w:sz w:val="28"/>
                <w:szCs w:val="28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Quality</w:t>
            </w:r>
          </w:p>
          <w:p w:rsidR="0040493F" w:rsidRDefault="0040493F" w:rsidP="00926BF2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Rating</w:t>
            </w:r>
          </w:p>
        </w:tc>
      </w:tr>
      <w:tr w:rsidR="00AB0941" w:rsidRPr="00774ABD" w:rsidTr="00BF0BE3">
        <w:trPr>
          <w:trHeight w:hRule="exact" w:val="1650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941" w:rsidRDefault="00AB0941" w:rsidP="00AB0941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Dyck, 2000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941" w:rsidRDefault="00AB0941" w:rsidP="00AB0941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2 years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941" w:rsidRDefault="00AB0941" w:rsidP="00AB0941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MFG</w:t>
            </w:r>
            <w:r w:rsidR="00D806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4ABD">
              <w:rPr>
                <w:rFonts w:ascii="Arial" w:hAnsi="Arial" w:cs="Arial"/>
                <w:sz w:val="18"/>
                <w:szCs w:val="18"/>
              </w:rPr>
              <w:t>vs. Usual Care</w:t>
            </w:r>
            <w:r w:rsidRPr="00774ABD">
              <w:rPr>
                <w:rFonts w:ascii="Arial" w:hAnsi="Arial" w:cs="Arial"/>
                <w:sz w:val="18"/>
                <w:szCs w:val="18"/>
              </w:rPr>
              <w:br/>
              <w:t>Age, mean years: 33, 30</w:t>
            </w:r>
            <w:r w:rsidRPr="00774ABD">
              <w:rPr>
                <w:rFonts w:ascii="Arial" w:hAnsi="Arial" w:cs="Arial"/>
                <w:sz w:val="18"/>
                <w:szCs w:val="18"/>
              </w:rPr>
              <w:br/>
              <w:t>% male: 72, 74</w:t>
            </w:r>
            <w:r w:rsidRPr="00774ABD">
              <w:rPr>
                <w:rFonts w:ascii="Arial" w:hAnsi="Arial" w:cs="Arial"/>
                <w:sz w:val="18"/>
                <w:szCs w:val="18"/>
              </w:rPr>
              <w:br/>
              <w:t>White, %: 94, 97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941" w:rsidRDefault="00AB0941" w:rsidP="00AB0941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MFG vs. Usual care</w:t>
            </w:r>
            <w:r w:rsidRPr="00774ABD">
              <w:rPr>
                <w:rFonts w:ascii="Arial" w:hAnsi="Arial" w:cs="Arial"/>
                <w:sz w:val="18"/>
                <w:szCs w:val="18"/>
              </w:rPr>
              <w:br/>
              <w:t xml:space="preserve">previous </w:t>
            </w:r>
            <w:r w:rsidRPr="00774ABD">
              <w:rPr>
                <w:rFonts w:ascii="Arial" w:hAnsi="Arial" w:cs="Arial"/>
                <w:sz w:val="18"/>
                <w:szCs w:val="18"/>
              </w:rPr>
              <w:br/>
              <w:t>Lifetime hospitalizations, mean: 5, 5</w:t>
            </w:r>
            <w:r w:rsidRPr="00774ABD">
              <w:rPr>
                <w:rFonts w:ascii="Arial" w:hAnsi="Arial" w:cs="Arial"/>
                <w:sz w:val="18"/>
                <w:szCs w:val="18"/>
              </w:rPr>
              <w:br/>
              <w:t>Comorbid SUD %:</w:t>
            </w:r>
            <w:r w:rsidR="00D806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4ABD">
              <w:rPr>
                <w:rFonts w:ascii="Arial" w:hAnsi="Arial" w:cs="Arial"/>
                <w:sz w:val="18"/>
                <w:szCs w:val="18"/>
              </w:rPr>
              <w:t>45, 50</w:t>
            </w:r>
            <w:r w:rsidR="00D806B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941" w:rsidRDefault="00AB0941" w:rsidP="00AB0941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941" w:rsidRDefault="00AB0941" w:rsidP="00AB0941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MFG vs. Usual care:</w:t>
            </w:r>
            <w:r w:rsidR="00D806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4ABD">
              <w:rPr>
                <w:rFonts w:ascii="Arial" w:hAnsi="Arial" w:cs="Arial"/>
                <w:sz w:val="18"/>
                <w:szCs w:val="18"/>
              </w:rPr>
              <w:t>MSANS baseline 7.9, 8.7</w:t>
            </w:r>
            <w:r w:rsidR="00D806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4ABD">
              <w:rPr>
                <w:rFonts w:ascii="Arial" w:hAnsi="Arial" w:cs="Arial"/>
                <w:sz w:val="18"/>
                <w:szCs w:val="18"/>
              </w:rPr>
              <w:t>Months 1-3: 7.4, 9.1</w:t>
            </w:r>
            <w:r w:rsidRPr="00774ABD">
              <w:rPr>
                <w:rFonts w:ascii="Arial" w:hAnsi="Arial" w:cs="Arial"/>
                <w:sz w:val="18"/>
                <w:szCs w:val="18"/>
              </w:rPr>
              <w:br/>
              <w:t>Months 4-6: 7.2, 8.9</w:t>
            </w:r>
            <w:r w:rsidR="00D806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4ABD">
              <w:rPr>
                <w:rFonts w:ascii="Arial" w:hAnsi="Arial" w:cs="Arial"/>
                <w:sz w:val="18"/>
                <w:szCs w:val="18"/>
              </w:rPr>
              <w:t>Months 7-9: 7.2, 8.9</w:t>
            </w:r>
            <w:r w:rsidR="00D806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4ABD">
              <w:rPr>
                <w:rFonts w:ascii="Arial" w:hAnsi="Arial" w:cs="Arial"/>
                <w:sz w:val="18"/>
                <w:szCs w:val="18"/>
              </w:rPr>
              <w:t>Months 10-12: 7.2, 8.4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941" w:rsidRDefault="00AB0941" w:rsidP="00AB0941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941" w:rsidRDefault="00AB0941" w:rsidP="00AB0941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Grand NIMH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941" w:rsidRDefault="00AB0941" w:rsidP="00AB0941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</w:tr>
      <w:tr w:rsidR="0040493F" w:rsidRPr="00774ABD" w:rsidTr="00926BF2">
        <w:trPr>
          <w:trHeight w:hRule="exact" w:val="5830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Garety 2008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 months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 vs. usual care: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Age, mean, years: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35, 38.6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Male: 71, 68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White: 86, 82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 vs. usual care: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Employed:</w:t>
            </w:r>
            <w:r w:rsidR="00D806B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11,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14 % Unemployed: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71, 71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 + 27 in</w:t>
            </w:r>
          </w:p>
          <w:p w:rsidR="0040493F" w:rsidRDefault="0040493F" w:rsidP="00926BF2">
            <w:pPr>
              <w:spacing w:before="16" w:line="258" w:lineRule="auto"/>
              <w:ind w:left="25" w:righ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CBT group which is not included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 vs. usual care:</w:t>
            </w:r>
          </w:p>
          <w:p w:rsidR="0040493F" w:rsidRDefault="0040493F" w:rsidP="00926BF2">
            <w:pPr>
              <w:spacing w:before="16" w:line="258" w:lineRule="auto"/>
              <w:ind w:left="25" w:right="1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Mean difference in change scores:</w:t>
            </w: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 PANSS at 12 months: -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6.44 (-14.12 to 1.24)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 PANSS at 24 months:</w:t>
            </w:r>
          </w:p>
          <w:p w:rsidR="0040493F" w:rsidRDefault="0040493F" w:rsidP="00926BF2">
            <w:pPr>
              <w:spacing w:before="16" w:line="258" w:lineRule="auto"/>
              <w:ind w:left="25" w:right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-6.25 (-14.77 to 2.28) Negative PANSS at 12 months: -2.42 (-5.18 to 0.35) Negative PANSS at 24 months: -1.32 (-4.42 to 1.78) BAI at 12 months:</w:t>
            </w:r>
          </w:p>
          <w:p w:rsidR="0040493F" w:rsidRDefault="0040493F" w:rsidP="00926BF2">
            <w:pPr>
              <w:spacing w:line="258" w:lineRule="auto"/>
              <w:ind w:left="25" w:right="7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-0.42 (-6.97 to 6.13) BAI at 24 months:</w:t>
            </w:r>
          </w:p>
          <w:p w:rsidR="0040493F" w:rsidRDefault="0040493F" w:rsidP="00926BF2">
            <w:pPr>
              <w:spacing w:line="258" w:lineRule="auto"/>
              <w:ind w:left="25" w:right="7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-2.36 (-9.13 to 4.40) BDI at 12 months:</w:t>
            </w:r>
          </w:p>
          <w:p w:rsidR="0040493F" w:rsidRDefault="0040493F" w:rsidP="00926BF2">
            <w:pPr>
              <w:spacing w:line="258" w:lineRule="auto"/>
              <w:ind w:left="25" w:right="7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3.35 (-2.46 to 9.34) BDI at 24 months:</w:t>
            </w:r>
          </w:p>
          <w:p w:rsidR="0040493F" w:rsidRDefault="0040493F" w:rsidP="00926BF2">
            <w:pPr>
              <w:spacing w:line="258" w:lineRule="auto"/>
              <w:ind w:left="25" w:right="4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-0.11 (-6.91 to 6.68) EuroQol at 24 months:</w:t>
            </w: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-7.38 (-22.07 to 7.31)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Welcome</w:t>
            </w:r>
          </w:p>
          <w:p w:rsidR="0040493F" w:rsidRDefault="0040493F" w:rsidP="00926BF2">
            <w:pPr>
              <w:spacing w:before="16" w:line="258" w:lineRule="auto"/>
              <w:ind w:left="25" w:righ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Trust Programme Grant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Good</w:t>
            </w:r>
          </w:p>
        </w:tc>
      </w:tr>
    </w:tbl>
    <w:p w:rsidR="0040493F" w:rsidRDefault="0040493F" w:rsidP="0040493F">
      <w:pPr>
        <w:sectPr w:rsidR="0040493F">
          <w:pgSz w:w="15840" w:h="12240" w:orient="landscape"/>
          <w:pgMar w:top="980" w:right="640" w:bottom="280" w:left="620" w:header="720" w:footer="720" w:gutter="0"/>
          <w:cols w:space="720"/>
        </w:sectPr>
      </w:pPr>
    </w:p>
    <w:p w:rsidR="0040493F" w:rsidRDefault="0040493F" w:rsidP="0040493F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42"/>
        <w:gridCol w:w="1373"/>
        <w:gridCol w:w="3406"/>
        <w:gridCol w:w="1783"/>
        <w:gridCol w:w="3374"/>
        <w:gridCol w:w="3060"/>
      </w:tblGrid>
      <w:tr w:rsidR="0040493F" w:rsidRPr="00774ABD" w:rsidTr="00F20F33">
        <w:trPr>
          <w:trHeight w:hRule="exact" w:val="1162"/>
          <w:tblHeader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before="10" w:line="110" w:lineRule="exact"/>
              <w:rPr>
                <w:sz w:val="11"/>
                <w:szCs w:val="11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before="5" w:line="280" w:lineRule="exact"/>
              <w:rPr>
                <w:sz w:val="28"/>
                <w:szCs w:val="28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</w:t>
            </w:r>
          </w:p>
          <w:p w:rsidR="0040493F" w:rsidRDefault="0040493F" w:rsidP="00926BF2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before="10" w:line="110" w:lineRule="exact"/>
              <w:rPr>
                <w:sz w:val="11"/>
                <w:szCs w:val="11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before="5" w:line="280" w:lineRule="exact"/>
              <w:rPr>
                <w:sz w:val="28"/>
                <w:szCs w:val="28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Interventions and</w:t>
            </w:r>
          </w:p>
          <w:p w:rsidR="0040493F" w:rsidRDefault="0040493F" w:rsidP="00926BF2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Ns per Group</w:t>
            </w:r>
          </w:p>
        </w:tc>
        <w:tc>
          <w:tcPr>
            <w:tcW w:w="3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before="10" w:line="110" w:lineRule="exact"/>
              <w:rPr>
                <w:sz w:val="11"/>
                <w:szCs w:val="11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Description of Intervention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before="10" w:line="110" w:lineRule="exact"/>
              <w:rPr>
                <w:sz w:val="11"/>
                <w:szCs w:val="11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Default="0040493F" w:rsidP="00926BF2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Description of Comparator</w:t>
            </w:r>
          </w:p>
        </w:tc>
      </w:tr>
      <w:tr w:rsidR="0040493F" w:rsidRPr="00774ABD" w:rsidTr="00926BF2">
        <w:trPr>
          <w:trHeight w:hRule="exact" w:val="3490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Kopeolwicz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2012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Two community</w:t>
            </w:r>
          </w:p>
          <w:p w:rsidR="0040493F" w:rsidRDefault="0040493F" w:rsidP="00926BF2">
            <w:pPr>
              <w:spacing w:before="16" w:line="258" w:lineRule="auto"/>
              <w:ind w:left="25" w:right="1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mental health centers in Los Angeles, California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Diagnosis of schizophrenia or</w:t>
            </w:r>
          </w:p>
          <w:p w:rsidR="0040493F" w:rsidRDefault="0040493F" w:rsidP="00926BF2">
            <w:pPr>
              <w:spacing w:before="16" w:line="258" w:lineRule="auto"/>
              <w:ind w:left="25" w:righ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schizoaffective disorder, 18-50 years of age, of Mexican origin and spoke</w:t>
            </w:r>
          </w:p>
          <w:p w:rsidR="0040493F" w:rsidRDefault="0040493F" w:rsidP="00926BF2">
            <w:pPr>
              <w:spacing w:line="258" w:lineRule="auto"/>
              <w:ind w:left="25" w:right="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Spanish fluently, history of nonadherence (had been without antipsychotic medication without medical authorization for 1 continuous week in the month prior to study enrollment), lived with their</w:t>
            </w:r>
          </w:p>
          <w:p w:rsidR="0040493F" w:rsidRDefault="0040493F" w:rsidP="00926BF2">
            <w:pPr>
              <w:spacing w:line="258" w:lineRule="auto"/>
              <w:ind w:left="25" w:right="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family of origin, had at least 1 family member willing to participate in the family treatment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MFG-A, n=64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MFG-S, n=54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Usual care, n=60</w:t>
            </w:r>
          </w:p>
        </w:tc>
        <w:tc>
          <w:tcPr>
            <w:tcW w:w="3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66411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Culturally adapted, multifamily group</w:t>
            </w:r>
            <w:r w:rsidR="0066411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therapy based on McFarlane's model that combines psychoeducation and skills training. MFG-S consisted of 3 initial "joining sessions" conducted separately with each fami</w:t>
            </w:r>
            <w:r w:rsidR="00664117">
              <w:rPr>
                <w:rFonts w:ascii="Arial" w:eastAsia="Arial" w:hAnsi="Arial" w:cs="Arial"/>
                <w:sz w:val="18"/>
                <w:szCs w:val="18"/>
              </w:rPr>
              <w:t xml:space="preserve">ly, a 6 hour "survival skills" </w:t>
            </w:r>
            <w:r>
              <w:rPr>
                <w:rFonts w:ascii="Arial" w:eastAsia="Arial" w:hAnsi="Arial" w:cs="Arial"/>
                <w:sz w:val="18"/>
                <w:szCs w:val="18"/>
              </w:rPr>
              <w:t>educational workshop,</w:t>
            </w:r>
            <w:r w:rsidR="0066411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 multifamily group sessions. Modified therapy in the MFG-A arm was to target improved adherence using principles of the Theory of Planned Behavior. MFG arms convened twice monthly in 90 minute sessions.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66411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 study participants received</w:t>
            </w:r>
            <w:r w:rsidR="0066411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treatment as usual. Rigid medication protocols were not used. Patients received all services as needed from the Mental Health Department of Los Angeles County. After inpatient discharge, patients received a psychiatric evaluation and medication, and if clinically stable, received monthly 20-minute</w:t>
            </w:r>
            <w:r w:rsidR="0066411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sessions. If patients needed additional services or rehospitalization, that was accommodated.</w:t>
            </w:r>
          </w:p>
        </w:tc>
      </w:tr>
      <w:tr w:rsidR="0040493F" w:rsidRPr="00774ABD" w:rsidTr="00926BF2">
        <w:trPr>
          <w:trHeight w:hRule="exact" w:val="2558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Mayoral, 2015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Four mental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health centers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Spain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Age &gt;18 years of age; confirmed</w:t>
            </w:r>
          </w:p>
          <w:p w:rsidR="0040493F" w:rsidRDefault="0040493F" w:rsidP="00926BF2">
            <w:pPr>
              <w:spacing w:before="16" w:line="258" w:lineRule="auto"/>
              <w:ind w:left="25" w:right="1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diagnosis of schizophrenia according to the DSM-IV criteria; live with, at least, one relative; understand and speak Spanish; no admission within the</w:t>
            </w:r>
          </w:p>
          <w:p w:rsidR="0040493F" w:rsidRDefault="0040493F" w:rsidP="00926BF2">
            <w:pPr>
              <w:spacing w:line="258" w:lineRule="auto"/>
              <w:ind w:left="25" w:right="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 months prior to the beginning of the study; treatment with antipsychotic drugs; and capacity to sign an informed consent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Family group therapy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(n=44)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Treatment as usual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(n=44)</w:t>
            </w:r>
          </w:p>
        </w:tc>
        <w:tc>
          <w:tcPr>
            <w:tcW w:w="3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 weekly 60-minute sessions (in home</w:t>
            </w:r>
          </w:p>
          <w:p w:rsidR="0040493F" w:rsidRDefault="0040493F" w:rsidP="00926BF2">
            <w:pPr>
              <w:spacing w:before="16" w:line="258" w:lineRule="auto"/>
              <w:ind w:left="25" w:right="-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 at a health center) of practical and role- playing exercises, with modules on disease and treatment, assessment of needs and family relations,</w:t>
            </w:r>
          </w:p>
          <w:p w:rsidR="0040493F" w:rsidRDefault="0040493F" w:rsidP="00926BF2">
            <w:pPr>
              <w:spacing w:line="258" w:lineRule="auto"/>
              <w:ind w:left="25" w:right="5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communication skills training, and problem facing and solving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Usual care in specialized mental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health centers</w:t>
            </w:r>
          </w:p>
        </w:tc>
      </w:tr>
    </w:tbl>
    <w:p w:rsidR="0040493F" w:rsidRDefault="0040493F" w:rsidP="0040493F">
      <w:pPr>
        <w:sectPr w:rsidR="0040493F">
          <w:pgSz w:w="15840" w:h="12240" w:orient="landscape"/>
          <w:pgMar w:top="980" w:right="660" w:bottom="280" w:left="620" w:header="720" w:footer="720" w:gutter="0"/>
          <w:cols w:space="720"/>
        </w:sectPr>
      </w:pPr>
    </w:p>
    <w:p w:rsidR="0040493F" w:rsidRDefault="0040493F" w:rsidP="0040493F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42"/>
        <w:gridCol w:w="1435"/>
        <w:gridCol w:w="1860"/>
        <w:gridCol w:w="1718"/>
        <w:gridCol w:w="883"/>
        <w:gridCol w:w="2398"/>
        <w:gridCol w:w="2712"/>
        <w:gridCol w:w="1135"/>
        <w:gridCol w:w="866"/>
      </w:tblGrid>
      <w:tr w:rsidR="0040493F" w:rsidRPr="00774ABD" w:rsidTr="00F20F33">
        <w:trPr>
          <w:trHeight w:hRule="exact" w:val="1162"/>
          <w:tblHeader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before="10" w:line="110" w:lineRule="exact"/>
              <w:rPr>
                <w:sz w:val="11"/>
                <w:szCs w:val="11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before="10" w:line="110" w:lineRule="exact"/>
              <w:rPr>
                <w:sz w:val="11"/>
                <w:szCs w:val="11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493F" w:rsidRPr="00774ABD" w:rsidRDefault="0040493F" w:rsidP="008D0E4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8D0E42">
            <w:pPr>
              <w:spacing w:before="9" w:line="240" w:lineRule="exact"/>
              <w:rPr>
                <w:sz w:val="24"/>
                <w:szCs w:val="24"/>
              </w:rPr>
            </w:pPr>
          </w:p>
          <w:p w:rsidR="0040493F" w:rsidRDefault="0040493F" w:rsidP="008D0E42">
            <w:pPr>
              <w:spacing w:line="272" w:lineRule="auto"/>
              <w:ind w:left="25" w:right="5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Age Gender Race/Ethnicity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before="5" w:line="280" w:lineRule="exact"/>
              <w:rPr>
                <w:sz w:val="28"/>
                <w:szCs w:val="28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Other Population</w:t>
            </w:r>
          </w:p>
          <w:p w:rsidR="0040493F" w:rsidRDefault="0040493F" w:rsidP="00926BF2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Characteristics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before="10" w:line="110" w:lineRule="exact"/>
              <w:rPr>
                <w:sz w:val="11"/>
                <w:szCs w:val="11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N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before="10" w:line="110" w:lineRule="exact"/>
              <w:rPr>
                <w:sz w:val="11"/>
                <w:szCs w:val="11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Benefits Outcomes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before="10" w:line="110" w:lineRule="exact"/>
              <w:rPr>
                <w:sz w:val="11"/>
                <w:szCs w:val="11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Harms Outcomes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before="10" w:line="110" w:lineRule="exact"/>
              <w:rPr>
                <w:sz w:val="11"/>
                <w:szCs w:val="11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Funding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before="5" w:line="280" w:lineRule="exact"/>
              <w:rPr>
                <w:sz w:val="28"/>
                <w:szCs w:val="28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Quality</w:t>
            </w:r>
          </w:p>
          <w:p w:rsidR="0040493F" w:rsidRDefault="0040493F" w:rsidP="00926BF2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Rating</w:t>
            </w:r>
          </w:p>
        </w:tc>
      </w:tr>
      <w:tr w:rsidR="0040493F" w:rsidRPr="00774ABD" w:rsidTr="00926BF2">
        <w:trPr>
          <w:trHeight w:hRule="exact" w:val="3490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Kopeolwicz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2012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Intervention and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followup: 1 year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MFG-A vs. MFG-S vs.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usual care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Age, mean years: 33,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30, 33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male: 67, 68, 61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Ethnicity Mexican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American, %: 100,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100, 100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MFG-A vs. MFG-S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vs. usual care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inpatient at entry: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88, 83, 84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Age at onset, years: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25, 23, 23</w:t>
            </w:r>
          </w:p>
          <w:p w:rsidR="0040493F" w:rsidRDefault="0040493F" w:rsidP="00926BF2">
            <w:pPr>
              <w:spacing w:before="16" w:line="258" w:lineRule="auto"/>
              <w:ind w:left="25" w:right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Lifetime hospitalizations, mean: 5.5, 5.6, 7.1</w:t>
            </w:r>
          </w:p>
          <w:p w:rsidR="0040493F" w:rsidRDefault="0040493F" w:rsidP="00926BF2">
            <w:pPr>
              <w:spacing w:line="258" w:lineRule="auto"/>
              <w:ind w:left="25" w:right="2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BPRS total score, mean: 87.5, 85.8,</w:t>
            </w: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81.1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178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BPRS:</w:t>
            </w:r>
          </w:p>
          <w:p w:rsidR="0040493F" w:rsidRDefault="0040493F" w:rsidP="00926BF2">
            <w:pPr>
              <w:spacing w:before="16" w:line="258" w:lineRule="auto"/>
              <w:ind w:left="25" w:right="2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 differences at baseline among 3 groups, p=0.18</w:t>
            </w:r>
          </w:p>
          <w:p w:rsidR="0040493F" w:rsidRDefault="0040493F" w:rsidP="00926BF2">
            <w:pPr>
              <w:spacing w:line="258" w:lineRule="auto"/>
              <w:ind w:left="25" w:right="1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 differences at 12 month followup among 3 groups, p=0.32</w:t>
            </w:r>
          </w:p>
          <w:p w:rsidR="0040493F" w:rsidRDefault="0040493F" w:rsidP="00926BF2">
            <w:pPr>
              <w:spacing w:line="258" w:lineRule="auto"/>
              <w:ind w:left="25" w:right="3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 groups improved significantly at 12 month followup compared to baseline, p&lt;0.001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Dropped out of treatment</w:t>
            </w:r>
          </w:p>
          <w:p w:rsidR="0040493F" w:rsidRDefault="0040493F" w:rsidP="00926BF2">
            <w:pPr>
              <w:spacing w:before="16" w:line="258" w:lineRule="auto"/>
              <w:ind w:left="25" w:right="2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immediately after undergoing baseline assessments and before engaging in outpatient care: 26% (45/174) overall</w:t>
            </w:r>
          </w:p>
          <w:p w:rsidR="0040493F" w:rsidRPr="00774ABD" w:rsidRDefault="0040493F" w:rsidP="00926BF2">
            <w:pPr>
              <w:spacing w:before="4" w:line="220" w:lineRule="exact"/>
            </w:pPr>
          </w:p>
          <w:p w:rsidR="0040493F" w:rsidRDefault="0040493F" w:rsidP="00926BF2">
            <w:pPr>
              <w:spacing w:line="258" w:lineRule="auto"/>
              <w:ind w:left="25" w:right="1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Attrition (leaving treatment before a 12-month assessment could be made):</w:t>
            </w:r>
          </w:p>
          <w:p w:rsidR="0040493F" w:rsidRDefault="0040493F" w:rsidP="00926BF2">
            <w:pPr>
              <w:spacing w:line="258" w:lineRule="auto"/>
              <w:ind w:left="25" w:right="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MFG-A 27% vs. usual care 51%, p=0.007</w:t>
            </w:r>
          </w:p>
          <w:p w:rsidR="0040493F" w:rsidRDefault="0040493F" w:rsidP="00926BF2">
            <w:pPr>
              <w:spacing w:line="258" w:lineRule="auto"/>
              <w:ind w:left="25" w:right="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MFG-S 37% vs. usual care 51%, p=0.11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National</w:t>
            </w:r>
          </w:p>
          <w:p w:rsidR="0040493F" w:rsidRDefault="0040493F" w:rsidP="00926BF2">
            <w:pPr>
              <w:spacing w:before="16" w:line="258" w:lineRule="auto"/>
              <w:ind w:left="25" w:right="2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Institute of Mental Health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Poor</w:t>
            </w:r>
          </w:p>
        </w:tc>
      </w:tr>
      <w:tr w:rsidR="0040493F" w:rsidRPr="00774ABD" w:rsidTr="0042182E">
        <w:trPr>
          <w:trHeight w:hRule="exact" w:val="2748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Mayoral, 2015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Intervention: 12</w:t>
            </w:r>
          </w:p>
          <w:p w:rsidR="0040493F" w:rsidRDefault="0040493F" w:rsidP="00926BF2">
            <w:pPr>
              <w:spacing w:before="16" w:line="258" w:lineRule="auto"/>
              <w:ind w:left="25" w:right="3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months Followup: 18 months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Family therapy vs.</w:t>
            </w:r>
          </w:p>
          <w:p w:rsidR="0040493F" w:rsidRDefault="0040493F" w:rsidP="00926BF2">
            <w:pPr>
              <w:spacing w:before="16" w:line="258" w:lineRule="auto"/>
              <w:ind w:left="25" w:righ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treatment as usual Age, mean years: 30 vs. 30 years</w:t>
            </w:r>
          </w:p>
          <w:p w:rsidR="0040493F" w:rsidRDefault="0040493F" w:rsidP="00926BF2">
            <w:pPr>
              <w:spacing w:line="258" w:lineRule="auto"/>
              <w:ind w:left="25" w:right="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male: 85% vs. 78% Ethnicity: NR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Family therapy vs.</w:t>
            </w:r>
          </w:p>
          <w:p w:rsidR="0040493F" w:rsidRDefault="0040493F" w:rsidP="00926BF2">
            <w:pPr>
              <w:spacing w:before="16" w:line="258" w:lineRule="auto"/>
              <w:ind w:left="25" w:right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usual care Previous admissions, mean:</w:t>
            </w: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2.83 vs. 2.17</w:t>
            </w:r>
          </w:p>
          <w:p w:rsidR="0040493F" w:rsidRDefault="0040493F" w:rsidP="00926BF2">
            <w:pPr>
              <w:spacing w:before="16" w:line="258" w:lineRule="auto"/>
              <w:ind w:left="25" w:right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Suicide attempts, mean: 1.3 vs. 3.0</w:t>
            </w:r>
          </w:p>
          <w:p w:rsidR="0040493F" w:rsidRDefault="0040493F" w:rsidP="00926BF2">
            <w:pPr>
              <w:spacing w:line="258" w:lineRule="auto"/>
              <w:ind w:left="25" w:righ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BPRS total score, mean: 2.07 vs. 2.13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88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82E" w:rsidRPr="0042182E" w:rsidRDefault="0042182E" w:rsidP="0042182E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42182E">
              <w:rPr>
                <w:rFonts w:ascii="Arial" w:eastAsia="Arial" w:hAnsi="Arial" w:cs="Arial"/>
                <w:sz w:val="18"/>
                <w:szCs w:val="18"/>
              </w:rPr>
              <w:t>Famil</w:t>
            </w:r>
            <w:r>
              <w:rPr>
                <w:rFonts w:ascii="Arial" w:eastAsia="Arial" w:hAnsi="Arial" w:cs="Arial"/>
                <w:sz w:val="18"/>
                <w:szCs w:val="18"/>
              </w:rPr>
              <w:t>y therapy vs. usual care</w:t>
            </w:r>
          </w:p>
          <w:p w:rsidR="0042182E" w:rsidRPr="0042182E" w:rsidRDefault="0042182E" w:rsidP="0042182E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42182E">
              <w:rPr>
                <w:rFonts w:ascii="Arial" w:eastAsia="Arial" w:hAnsi="Arial" w:cs="Arial"/>
                <w:sz w:val="18"/>
                <w:szCs w:val="18"/>
              </w:rPr>
              <w:t>End of treatment (12 months)</w:t>
            </w:r>
          </w:p>
          <w:p w:rsidR="0042182E" w:rsidRPr="0042182E" w:rsidRDefault="0042182E" w:rsidP="0042182E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42182E">
              <w:rPr>
                <w:rFonts w:ascii="Arial" w:eastAsia="Arial" w:hAnsi="Arial" w:cs="Arial"/>
                <w:sz w:val="18"/>
                <w:szCs w:val="18"/>
              </w:rPr>
              <w:t>BPRS total, mean: 1.66 vs. 2.14 (p=0.0046)</w:t>
            </w:r>
          </w:p>
          <w:p w:rsidR="0042182E" w:rsidRPr="0042182E" w:rsidRDefault="0042182E" w:rsidP="008D0E4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42182E">
              <w:rPr>
                <w:rFonts w:ascii="Arial" w:eastAsia="Arial" w:hAnsi="Arial" w:cs="Arial"/>
                <w:sz w:val="18"/>
                <w:szCs w:val="18"/>
              </w:rPr>
              <w:t>Hospitalization: 0% vs. 21% (8/38); RR 0.06 (95% CI 0.004 to 1.04)</w:t>
            </w:r>
          </w:p>
          <w:p w:rsidR="0042182E" w:rsidRPr="0042182E" w:rsidRDefault="0042182E" w:rsidP="0042182E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:rsidR="0042182E" w:rsidRPr="0042182E" w:rsidRDefault="0042182E" w:rsidP="008D0E4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Post-intervention follow</w:t>
            </w:r>
            <w:r w:rsidRPr="0042182E">
              <w:rPr>
                <w:rFonts w:ascii="Arial" w:eastAsia="Arial" w:hAnsi="Arial" w:cs="Arial"/>
                <w:sz w:val="18"/>
                <w:szCs w:val="18"/>
              </w:rPr>
              <w:t>up (18 months)</w:t>
            </w:r>
          </w:p>
          <w:p w:rsidR="0040493F" w:rsidRDefault="0042182E" w:rsidP="0042182E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42182E">
              <w:rPr>
                <w:rFonts w:ascii="Arial" w:eastAsia="Arial" w:hAnsi="Arial" w:cs="Arial"/>
                <w:sz w:val="18"/>
                <w:szCs w:val="18"/>
              </w:rPr>
              <w:t>BPRS total, mean: 1.70 vs. 2.05 (p=0.44)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Spain's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Ministry of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Health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</w:tbl>
    <w:p w:rsidR="0040493F" w:rsidRDefault="0040493F" w:rsidP="0040493F">
      <w:pPr>
        <w:sectPr w:rsidR="0040493F">
          <w:pgSz w:w="15840" w:h="12240" w:orient="landscape"/>
          <w:pgMar w:top="980" w:right="640" w:bottom="280" w:left="620" w:header="720" w:footer="720" w:gutter="0"/>
          <w:cols w:space="720"/>
        </w:sectPr>
      </w:pPr>
    </w:p>
    <w:p w:rsidR="0040493F" w:rsidRDefault="0040493F" w:rsidP="0040493F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42"/>
        <w:gridCol w:w="1373"/>
        <w:gridCol w:w="3406"/>
        <w:gridCol w:w="1783"/>
        <w:gridCol w:w="3374"/>
        <w:gridCol w:w="3060"/>
      </w:tblGrid>
      <w:tr w:rsidR="0040493F" w:rsidRPr="00774ABD" w:rsidTr="00F20F33">
        <w:trPr>
          <w:trHeight w:hRule="exact" w:val="1162"/>
          <w:tblHeader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before="10" w:line="110" w:lineRule="exact"/>
              <w:rPr>
                <w:sz w:val="11"/>
                <w:szCs w:val="11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before="5" w:line="280" w:lineRule="exact"/>
              <w:rPr>
                <w:sz w:val="28"/>
                <w:szCs w:val="28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</w:t>
            </w:r>
          </w:p>
          <w:p w:rsidR="0040493F" w:rsidRDefault="0040493F" w:rsidP="00926BF2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before="10" w:line="110" w:lineRule="exact"/>
              <w:rPr>
                <w:sz w:val="11"/>
                <w:szCs w:val="11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before="5" w:line="280" w:lineRule="exact"/>
              <w:rPr>
                <w:sz w:val="28"/>
                <w:szCs w:val="28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Interventions and</w:t>
            </w:r>
          </w:p>
          <w:p w:rsidR="0040493F" w:rsidRDefault="0040493F" w:rsidP="00926BF2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Ns per Group</w:t>
            </w:r>
          </w:p>
        </w:tc>
        <w:tc>
          <w:tcPr>
            <w:tcW w:w="3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before="10" w:line="110" w:lineRule="exact"/>
              <w:rPr>
                <w:sz w:val="11"/>
                <w:szCs w:val="11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Description of Intervention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before="10" w:line="110" w:lineRule="exact"/>
              <w:rPr>
                <w:sz w:val="11"/>
                <w:szCs w:val="11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Default="0040493F" w:rsidP="00926BF2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Description of Comparator</w:t>
            </w:r>
          </w:p>
        </w:tc>
      </w:tr>
      <w:tr w:rsidR="0040493F" w:rsidRPr="00774ABD" w:rsidTr="00926BF2">
        <w:trPr>
          <w:trHeight w:hRule="exact" w:val="5378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Sellwood 2001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Sellwood 2007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Barrow</w:t>
            </w:r>
            <w:r w:rsidR="00161946"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lough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1999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centers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United Kingdom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ICD-10 diagnosis of schizophrenia,</w:t>
            </w:r>
          </w:p>
          <w:p w:rsidR="0040493F" w:rsidRDefault="0040493F" w:rsidP="00926BF2">
            <w:pPr>
              <w:spacing w:before="16" w:line="258" w:lineRule="auto"/>
              <w:ind w:left="25" w:right="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schizoaffective disorder or delusional disorder of at least 2 years’ duration; at least one relapse of psychotic symptoms leading to in patient admission in the 2 years preceding study entry and a minimum duration of illness of 2 years; aged between 18 and 65 years; at least</w:t>
            </w:r>
          </w:p>
          <w:p w:rsidR="0040493F" w:rsidRDefault="0040493F" w:rsidP="00926BF2">
            <w:pPr>
              <w:spacing w:line="258" w:lineRule="auto"/>
              <w:ind w:left="25" w:right="1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hours of face-to-face contact with a career for each week over the previous month.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Family CBT: n=39</w:t>
            </w:r>
          </w:p>
          <w:p w:rsidR="0040493F" w:rsidRPr="00774ABD" w:rsidRDefault="0040493F" w:rsidP="00926BF2">
            <w:pPr>
              <w:spacing w:before="19" w:line="220" w:lineRule="exact"/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Standard care: n=38</w:t>
            </w:r>
          </w:p>
        </w:tc>
        <w:tc>
          <w:tcPr>
            <w:tcW w:w="3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Family CBT: 10 to 20 sessions over 24</w:t>
            </w:r>
          </w:p>
          <w:p w:rsidR="0040493F" w:rsidRDefault="0040493F" w:rsidP="00926BF2">
            <w:pPr>
              <w:spacing w:before="16" w:line="258" w:lineRule="auto"/>
              <w:ind w:left="25" w:righ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weeks aimed at delivering problem- solving techniques, cognitive-behavioral intervention for families, and cognitive- behavioral interventions with patients to reduce psychotic symptoms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Standard care: Standard psychiatric</w:t>
            </w:r>
          </w:p>
          <w:p w:rsidR="0040493F" w:rsidRDefault="0040493F" w:rsidP="00006486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management by the</w:t>
            </w:r>
            <w:r w:rsidR="0000648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clinical team, maintenance neuroleptic medication, monitoring through out-patient and community followup and the care programmed approach to case management.</w:t>
            </w:r>
          </w:p>
        </w:tc>
      </w:tr>
    </w:tbl>
    <w:p w:rsidR="0040493F" w:rsidRDefault="0040493F" w:rsidP="0040493F">
      <w:pPr>
        <w:sectPr w:rsidR="0040493F">
          <w:pgSz w:w="15840" w:h="12240" w:orient="landscape"/>
          <w:pgMar w:top="980" w:right="660" w:bottom="280" w:left="620" w:header="720" w:footer="720" w:gutter="0"/>
          <w:cols w:space="720"/>
        </w:sectPr>
      </w:pPr>
    </w:p>
    <w:p w:rsidR="0040493F" w:rsidRDefault="0040493F" w:rsidP="0040493F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42"/>
        <w:gridCol w:w="1435"/>
        <w:gridCol w:w="1860"/>
        <w:gridCol w:w="1718"/>
        <w:gridCol w:w="883"/>
        <w:gridCol w:w="2398"/>
        <w:gridCol w:w="2712"/>
        <w:gridCol w:w="1135"/>
        <w:gridCol w:w="866"/>
      </w:tblGrid>
      <w:tr w:rsidR="0040493F" w:rsidRPr="00774ABD" w:rsidTr="00F20F33">
        <w:trPr>
          <w:trHeight w:hRule="exact" w:val="1162"/>
          <w:tblHeader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before="10" w:line="110" w:lineRule="exact"/>
              <w:rPr>
                <w:sz w:val="11"/>
                <w:szCs w:val="11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before="10" w:line="110" w:lineRule="exact"/>
              <w:rPr>
                <w:sz w:val="11"/>
                <w:szCs w:val="11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493F" w:rsidRPr="00774ABD" w:rsidRDefault="0040493F" w:rsidP="008D0E4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8D0E42">
            <w:pPr>
              <w:spacing w:before="9" w:line="240" w:lineRule="exact"/>
              <w:rPr>
                <w:sz w:val="24"/>
                <w:szCs w:val="24"/>
              </w:rPr>
            </w:pPr>
          </w:p>
          <w:p w:rsidR="0040493F" w:rsidRDefault="0040493F" w:rsidP="008D0E42">
            <w:pPr>
              <w:spacing w:line="272" w:lineRule="auto"/>
              <w:ind w:left="25" w:right="5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Age Gender Race/Ethnicity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before="5" w:line="280" w:lineRule="exact"/>
              <w:rPr>
                <w:sz w:val="28"/>
                <w:szCs w:val="28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Other Population</w:t>
            </w:r>
          </w:p>
          <w:p w:rsidR="0040493F" w:rsidRDefault="0040493F" w:rsidP="00926BF2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Characteristics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before="10" w:line="110" w:lineRule="exact"/>
              <w:rPr>
                <w:sz w:val="11"/>
                <w:szCs w:val="11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N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before="10" w:line="110" w:lineRule="exact"/>
              <w:rPr>
                <w:sz w:val="11"/>
                <w:szCs w:val="11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Benefits Outcomes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before="10" w:line="110" w:lineRule="exact"/>
              <w:rPr>
                <w:sz w:val="11"/>
                <w:szCs w:val="11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Harms Outcomes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before="10" w:line="110" w:lineRule="exact"/>
              <w:rPr>
                <w:sz w:val="11"/>
                <w:szCs w:val="11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Funding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before="5" w:line="280" w:lineRule="exact"/>
              <w:rPr>
                <w:sz w:val="28"/>
                <w:szCs w:val="28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Quality</w:t>
            </w:r>
          </w:p>
          <w:p w:rsidR="0040493F" w:rsidRDefault="0040493F" w:rsidP="00926BF2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Rating</w:t>
            </w:r>
          </w:p>
        </w:tc>
      </w:tr>
      <w:tr w:rsidR="0040493F" w:rsidRPr="00774ABD" w:rsidTr="00926BF2">
        <w:trPr>
          <w:trHeight w:hRule="exact" w:val="5378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Sellwood 2001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Sellwood 2007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Barrowlough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1999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 months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Data not stratified by</w:t>
            </w:r>
          </w:p>
          <w:p w:rsidR="0040493F" w:rsidRDefault="0040493F" w:rsidP="00926BF2">
            <w:pPr>
              <w:spacing w:before="18" w:line="260" w:lineRule="auto"/>
              <w:ind w:left="25" w:right="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intervention group </w:t>
            </w:r>
            <w:r>
              <w:rPr>
                <w:rFonts w:ascii="Arial" w:eastAsia="Arial" w:hAnsi="Arial" w:cs="Arial"/>
                <w:sz w:val="18"/>
                <w:szCs w:val="18"/>
              </w:rPr>
              <w:t>Mean age 36 (SD 10) years</w:t>
            </w:r>
          </w:p>
          <w:p w:rsidR="0040493F" w:rsidRDefault="0040493F" w:rsidP="00926BF2">
            <w:pPr>
              <w:spacing w:line="206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35% female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Race-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85% White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9% Black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6% Southeast Asian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Family CBT vs.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  <w:u w:val="single" w:color="000000"/>
              </w:rPr>
              <w:t xml:space="preserve"> 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standard care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Mean PANSS: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59.10 vs. 53.89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Mean score, Social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Functioning scale: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99.61 vs. 101.12</w:t>
            </w:r>
          </w:p>
          <w:p w:rsidR="0040493F" w:rsidRDefault="0040493F" w:rsidP="00926BF2">
            <w:pPr>
              <w:spacing w:before="16" w:line="258" w:lineRule="auto"/>
              <w:ind w:left="25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Mean score, Global Assessment of Function: 43.00 vs.</w:t>
            </w: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45.79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79 (80%</w:t>
            </w:r>
          </w:p>
          <w:p w:rsidR="0040493F" w:rsidRDefault="0040493F" w:rsidP="00926BF2">
            <w:pPr>
              <w:spacing w:before="16" w:line="258" w:lineRule="auto"/>
              <w:ind w:left="25" w:right="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[63/79] included at final followup)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Family CBT vs. standard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  <w:u w:val="single" w:color="000000"/>
              </w:rPr>
              <w:t xml:space="preserve"> 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care</w:t>
            </w:r>
          </w:p>
          <w:p w:rsidR="0040493F" w:rsidRDefault="0040493F" w:rsidP="00926BF2">
            <w:pPr>
              <w:spacing w:before="16" w:line="258" w:lineRule="auto"/>
              <w:ind w:left="25" w:righ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Overall symptoms, PANSS, total score: 62.40 (95% CI</w:t>
            </w:r>
          </w:p>
          <w:p w:rsidR="0040493F" w:rsidRDefault="0040493F" w:rsidP="00926BF2">
            <w:pPr>
              <w:spacing w:line="258" w:lineRule="auto"/>
              <w:ind w:left="25" w:righ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57.10 to 67.70) vs. 52.32 (47.92 to 56.72); p=0.005; mean change from baseline</w:t>
            </w:r>
          </w:p>
          <w:p w:rsidR="0040493F" w:rsidRDefault="0040493F" w:rsidP="00926BF2">
            <w:pPr>
              <w:spacing w:line="258" w:lineRule="auto"/>
              <w:ind w:left="25" w:right="1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1.08 (0.99 to 1.17) vs. 0.98 (0.89 to 1.06); p=0.09</w:t>
            </w: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Relapse: 16% (6/38) vs.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49% (19/39)</w:t>
            </w:r>
          </w:p>
          <w:p w:rsidR="0040493F" w:rsidRDefault="0040493F" w:rsidP="00926BF2">
            <w:pPr>
              <w:spacing w:before="16" w:line="258" w:lineRule="auto"/>
              <w:ind w:left="25" w:right="1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Overall function, Social Functioning scale: 102.93 (SD 10.69) vs. 101.03 (SD</w:t>
            </w:r>
          </w:p>
          <w:p w:rsidR="0040493F" w:rsidRDefault="0040493F" w:rsidP="00926BF2">
            <w:pPr>
              <w:spacing w:line="258" w:lineRule="auto"/>
              <w:ind w:left="25" w:right="4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11.04); p=NS; mean change from baseline 1.29 vs. 2.42; p=NS</w:t>
            </w:r>
          </w:p>
          <w:p w:rsidR="0040493F" w:rsidRDefault="0040493F" w:rsidP="00926BF2">
            <w:pPr>
              <w:spacing w:line="258" w:lineRule="auto"/>
              <w:ind w:left="25" w:righ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Overall function, GAF: 42.67 (SD 10.88) vs. 48.50 (SD</w:t>
            </w:r>
          </w:p>
          <w:p w:rsidR="0040493F" w:rsidRDefault="0040493F" w:rsidP="00926BF2">
            <w:pPr>
              <w:spacing w:line="258" w:lineRule="auto"/>
              <w:ind w:left="25" w:right="4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8.81); p=0.02; mean change from baseline 1.50 vs. 1.50; p=NS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National</w:t>
            </w:r>
          </w:p>
          <w:p w:rsidR="0040493F" w:rsidRDefault="0040493F" w:rsidP="00926BF2">
            <w:pPr>
              <w:spacing w:before="16" w:line="258" w:lineRule="auto"/>
              <w:ind w:left="25" w:righ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Health Service Tameside and Glossop Community Priority Care trust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</w:tbl>
    <w:p w:rsidR="0040493F" w:rsidRDefault="0040493F" w:rsidP="0040493F">
      <w:pPr>
        <w:sectPr w:rsidR="0040493F">
          <w:pgSz w:w="15840" w:h="12240" w:orient="landscape"/>
          <w:pgMar w:top="980" w:right="640" w:bottom="280" w:left="620" w:header="720" w:footer="720" w:gutter="0"/>
          <w:cols w:space="720"/>
        </w:sectPr>
      </w:pPr>
    </w:p>
    <w:p w:rsidR="0040493F" w:rsidRDefault="0040493F" w:rsidP="0040493F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42"/>
        <w:gridCol w:w="1373"/>
        <w:gridCol w:w="3406"/>
        <w:gridCol w:w="1783"/>
        <w:gridCol w:w="3374"/>
        <w:gridCol w:w="3060"/>
      </w:tblGrid>
      <w:tr w:rsidR="0040493F" w:rsidRPr="00774ABD" w:rsidTr="00F20F33">
        <w:trPr>
          <w:trHeight w:hRule="exact" w:val="1162"/>
          <w:tblHeader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before="10" w:line="110" w:lineRule="exact"/>
              <w:rPr>
                <w:sz w:val="11"/>
                <w:szCs w:val="11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before="5" w:line="280" w:lineRule="exact"/>
              <w:rPr>
                <w:sz w:val="28"/>
                <w:szCs w:val="28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</w:t>
            </w:r>
          </w:p>
          <w:p w:rsidR="0040493F" w:rsidRDefault="0040493F" w:rsidP="00926BF2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before="10" w:line="110" w:lineRule="exact"/>
              <w:rPr>
                <w:sz w:val="11"/>
                <w:szCs w:val="11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before="5" w:line="280" w:lineRule="exact"/>
              <w:rPr>
                <w:sz w:val="28"/>
                <w:szCs w:val="28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Interventions and</w:t>
            </w:r>
          </w:p>
          <w:p w:rsidR="0040493F" w:rsidRDefault="0040493F" w:rsidP="00926BF2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Ns per Group</w:t>
            </w:r>
          </w:p>
        </w:tc>
        <w:tc>
          <w:tcPr>
            <w:tcW w:w="3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before="10" w:line="110" w:lineRule="exact"/>
              <w:rPr>
                <w:sz w:val="11"/>
                <w:szCs w:val="11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Description of Intervention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before="10" w:line="110" w:lineRule="exact"/>
              <w:rPr>
                <w:sz w:val="11"/>
                <w:szCs w:val="11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Default="0040493F" w:rsidP="00926BF2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Description of Comparator</w:t>
            </w:r>
          </w:p>
        </w:tc>
      </w:tr>
      <w:tr w:rsidR="0040493F" w:rsidRPr="00774ABD" w:rsidTr="00926BF2">
        <w:trPr>
          <w:trHeight w:hRule="exact" w:val="4507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Valencia, 2007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Single center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Mexico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Outpatients age 16 to 50 with DSM-IV</w:t>
            </w:r>
          </w:p>
          <w:p w:rsidR="0040493F" w:rsidRDefault="0040493F" w:rsidP="00926BF2">
            <w:pPr>
              <w:spacing w:before="16" w:line="258" w:lineRule="auto"/>
              <w:ind w:left="25" w:right="-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schizophrenia; taking antipsychotic medication; clinically stable in terms of psychotic symptoms (PANSS score &lt;60); completed at least 6 years of elementary education; lived with their families and resided in Mexico City or the metropolitan area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SST: n=49</w:t>
            </w:r>
          </w:p>
          <w:p w:rsidR="0040493F" w:rsidRPr="00774ABD" w:rsidRDefault="0040493F" w:rsidP="00926BF2">
            <w:pPr>
              <w:spacing w:before="19" w:line="220" w:lineRule="exact"/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Usual care: n=49</w:t>
            </w:r>
          </w:p>
        </w:tc>
        <w:tc>
          <w:tcPr>
            <w:tcW w:w="3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SST: 48 weekly group sessions (75</w:t>
            </w:r>
          </w:p>
          <w:p w:rsidR="0040493F" w:rsidRDefault="0040493F" w:rsidP="00926BF2">
            <w:pPr>
              <w:spacing w:before="16" w:line="258" w:lineRule="auto"/>
              <w:ind w:left="25" w:right="2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mins/session) composed of seven sequential treatment areas (each area includes a specific set of skills) as follows: (1) symptom management; (2) medication</w:t>
            </w:r>
          </w:p>
          <w:p w:rsidR="0040493F" w:rsidRDefault="0040493F" w:rsidP="00926BF2">
            <w:pPr>
              <w:spacing w:line="258" w:lineRule="auto"/>
              <w:ind w:left="25" w:right="2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management; (3) social relations; (4) occupational; (5) money management; (6) couple relations; and (7) family relations</w:t>
            </w:r>
          </w:p>
          <w:p w:rsidR="0040493F" w:rsidRDefault="0040493F" w:rsidP="00926BF2">
            <w:pPr>
              <w:spacing w:line="258" w:lineRule="auto"/>
              <w:ind w:left="25" w:right="1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Additional component of 8 group and 4 individual family therapy sessions for relatives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Usual care: Monthly appointments</w:t>
            </w:r>
          </w:p>
          <w:p w:rsidR="0040493F" w:rsidRDefault="0040493F" w:rsidP="00926BF2">
            <w:pPr>
              <w:spacing w:before="16" w:line="258" w:lineRule="auto"/>
              <w:ind w:left="25" w:right="5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(20 mins/session) with clinical psychiatrist who</w:t>
            </w: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controlled the prescription</w:t>
            </w:r>
          </w:p>
          <w:p w:rsidR="0040493F" w:rsidRDefault="0040493F" w:rsidP="00926BF2">
            <w:pPr>
              <w:spacing w:before="16" w:line="258" w:lineRule="auto"/>
              <w:ind w:left="25" w:right="2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of their AP medication based upon the assessment</w:t>
            </w:r>
          </w:p>
          <w:p w:rsidR="0040493F" w:rsidRDefault="0040493F" w:rsidP="00926BF2">
            <w:pPr>
              <w:spacing w:line="258" w:lineRule="auto"/>
              <w:ind w:left="25" w:right="6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of their psychotic symptoms, checked their medication compliance, recorded their consultation attendance.</w:t>
            </w:r>
          </w:p>
        </w:tc>
      </w:tr>
    </w:tbl>
    <w:p w:rsidR="0040493F" w:rsidRDefault="0040493F" w:rsidP="0040493F">
      <w:pPr>
        <w:sectPr w:rsidR="0040493F">
          <w:pgSz w:w="15840" w:h="12240" w:orient="landscape"/>
          <w:pgMar w:top="980" w:right="660" w:bottom="280" w:left="620" w:header="720" w:footer="720" w:gutter="0"/>
          <w:cols w:space="720"/>
        </w:sectPr>
      </w:pPr>
    </w:p>
    <w:p w:rsidR="0040493F" w:rsidRDefault="0040493F" w:rsidP="0040493F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42"/>
        <w:gridCol w:w="1435"/>
        <w:gridCol w:w="1860"/>
        <w:gridCol w:w="1718"/>
        <w:gridCol w:w="883"/>
        <w:gridCol w:w="2398"/>
        <w:gridCol w:w="2712"/>
        <w:gridCol w:w="1135"/>
        <w:gridCol w:w="866"/>
      </w:tblGrid>
      <w:tr w:rsidR="0040493F" w:rsidRPr="00774ABD" w:rsidTr="00F20F33">
        <w:trPr>
          <w:trHeight w:hRule="exact" w:val="1162"/>
          <w:tblHeader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before="10" w:line="110" w:lineRule="exact"/>
              <w:rPr>
                <w:sz w:val="11"/>
                <w:szCs w:val="11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before="10" w:line="110" w:lineRule="exact"/>
              <w:rPr>
                <w:sz w:val="11"/>
                <w:szCs w:val="11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493F" w:rsidRPr="00774ABD" w:rsidRDefault="0040493F" w:rsidP="008D0E4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8D0E42">
            <w:pPr>
              <w:spacing w:before="9" w:line="240" w:lineRule="exact"/>
              <w:rPr>
                <w:sz w:val="24"/>
                <w:szCs w:val="24"/>
              </w:rPr>
            </w:pPr>
          </w:p>
          <w:p w:rsidR="0040493F" w:rsidRDefault="0040493F" w:rsidP="008D0E42">
            <w:pPr>
              <w:spacing w:line="272" w:lineRule="auto"/>
              <w:ind w:left="25" w:right="5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Age Gender Race/Ethnicity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before="5" w:line="280" w:lineRule="exact"/>
              <w:rPr>
                <w:sz w:val="28"/>
                <w:szCs w:val="28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Other Population</w:t>
            </w:r>
          </w:p>
          <w:p w:rsidR="0040493F" w:rsidRDefault="0040493F" w:rsidP="00926BF2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Characteristics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before="10" w:line="110" w:lineRule="exact"/>
              <w:rPr>
                <w:sz w:val="11"/>
                <w:szCs w:val="11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N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before="10" w:line="110" w:lineRule="exact"/>
              <w:rPr>
                <w:sz w:val="11"/>
                <w:szCs w:val="11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Benefits Outcomes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before="10" w:line="110" w:lineRule="exact"/>
              <w:rPr>
                <w:sz w:val="11"/>
                <w:szCs w:val="11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Harms Outcomes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before="10" w:line="110" w:lineRule="exact"/>
              <w:rPr>
                <w:sz w:val="11"/>
                <w:szCs w:val="11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Funding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40493F" w:rsidRPr="00774ABD" w:rsidRDefault="0040493F" w:rsidP="00926BF2">
            <w:pPr>
              <w:spacing w:before="5" w:line="280" w:lineRule="exact"/>
              <w:rPr>
                <w:sz w:val="28"/>
                <w:szCs w:val="28"/>
              </w:rPr>
            </w:pP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Quality</w:t>
            </w:r>
          </w:p>
          <w:p w:rsidR="0040493F" w:rsidRDefault="0040493F" w:rsidP="00926BF2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Rating</w:t>
            </w:r>
          </w:p>
        </w:tc>
      </w:tr>
      <w:tr w:rsidR="0040493F" w:rsidRPr="00774ABD" w:rsidTr="00926BF2">
        <w:trPr>
          <w:trHeight w:hRule="exact" w:val="4507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Valencia, 2007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year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SST vs usual care</w:t>
            </w:r>
          </w:p>
          <w:p w:rsidR="0040493F" w:rsidRDefault="0040493F" w:rsidP="00926BF2">
            <w:pPr>
              <w:spacing w:before="16" w:line="258" w:lineRule="auto"/>
              <w:ind w:left="25" w:right="1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Mean age 30 vs. 30 years</w:t>
            </w: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30% vs. 15% female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Race not reported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SST vs. usual care</w:t>
            </w:r>
          </w:p>
          <w:p w:rsidR="0040493F" w:rsidRDefault="0040493F" w:rsidP="00926BF2">
            <w:pPr>
              <w:spacing w:before="16" w:line="258" w:lineRule="auto"/>
              <w:ind w:left="25" w:right="13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Mean age at onset of illness 21 vs. 21 years</w:t>
            </w:r>
          </w:p>
          <w:p w:rsidR="0040493F" w:rsidRDefault="0040493F" w:rsidP="00926BF2">
            <w:pPr>
              <w:spacing w:line="258" w:lineRule="auto"/>
              <w:ind w:left="25" w:right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Mean duration of illness: 9 vs 9 years Total PANSS: 115.2 (SD 30.5) vs. 107.9 (SD 22.6)</w:t>
            </w: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Negative PANSS: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29.7 (SD 8.5) vs.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28.7 (SD 6.3)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98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SST vs. usual care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Overall symptoms, total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PANSS: 46.9 (SD 14.6) vs.</w:t>
            </w:r>
          </w:p>
          <w:p w:rsidR="0040493F" w:rsidRDefault="0040493F" w:rsidP="00926BF2">
            <w:pPr>
              <w:spacing w:before="16" w:line="258" w:lineRule="auto"/>
              <w:ind w:left="25" w:righ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60.4 (SD 18.2); SMD -0.65 (95% CI -1.06 to -0.24) Negative symptoms, PANSS: 13.0 (SD 5.7) vs.</w:t>
            </w:r>
          </w:p>
          <w:p w:rsidR="0040493F" w:rsidRDefault="0040493F" w:rsidP="00926BF2">
            <w:pPr>
              <w:spacing w:line="258" w:lineRule="auto"/>
              <w:ind w:left="25" w:right="2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17.9 (SD 6.2); SMD -0.82 (95% CI -1.23 to -0.40) Function, GAF: 66.0 (SD</w:t>
            </w: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8.9) vs. 44.9 (SD 11.6);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p&lt;0.001; SMD 2.02 (95% CI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1.53 to 2.52)</w:t>
            </w:r>
          </w:p>
          <w:p w:rsidR="0040493F" w:rsidRDefault="0040493F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Relapse 5/49 vs.10/49; RR</w:t>
            </w:r>
          </w:p>
          <w:p w:rsidR="0040493F" w:rsidRDefault="0040493F" w:rsidP="00926BF2">
            <w:pPr>
              <w:spacing w:before="16" w:line="258" w:lineRule="auto"/>
              <w:ind w:left="25" w:right="1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0.50 (95% CI 0.18 to 1.36) Treatment maintenance:</w:t>
            </w:r>
          </w:p>
          <w:p w:rsidR="0040493F" w:rsidRDefault="0040493F" w:rsidP="00926BF2">
            <w:pPr>
              <w:spacing w:line="258" w:lineRule="auto"/>
              <w:ind w:left="25" w:right="2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88% (43/49) vs. 80% (39/49); RR 1.10 (95% CI</w:t>
            </w:r>
          </w:p>
          <w:p w:rsidR="0040493F" w:rsidRDefault="0040493F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0.92 to 1.31)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National</w:t>
            </w:r>
          </w:p>
          <w:p w:rsidR="0040493F" w:rsidRDefault="0040493F" w:rsidP="00926BF2">
            <w:pPr>
              <w:spacing w:before="16" w:line="258" w:lineRule="auto"/>
              <w:ind w:left="25" w:right="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Institute of Psychiatry Ramón de la Fuente; National Council on Science and Technology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3F" w:rsidRDefault="0040493F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</w:tbl>
    <w:p w:rsidR="0051557A" w:rsidRPr="006A4586" w:rsidRDefault="0051557A" w:rsidP="0040493F">
      <w:pPr>
        <w:spacing w:before="9"/>
        <w:rPr>
          <w:rFonts w:eastAsia="Times New Roman"/>
          <w:b/>
          <w:sz w:val="20"/>
          <w:szCs w:val="20"/>
        </w:rPr>
      </w:pPr>
      <w:r w:rsidRPr="006A4586">
        <w:rPr>
          <w:rFonts w:eastAsia="Times New Roman"/>
          <w:b/>
          <w:sz w:val="20"/>
          <w:szCs w:val="20"/>
        </w:rPr>
        <w:t>Please see Appendix B. Included Studies for full study references</w:t>
      </w:r>
    </w:p>
    <w:p w:rsidR="0051557A" w:rsidRPr="004D7017" w:rsidRDefault="0051557A" w:rsidP="004D7017">
      <w:pPr>
        <w:spacing w:line="203" w:lineRule="exact"/>
        <w:ind w:left="25" w:right="-20"/>
        <w:rPr>
          <w:rFonts w:ascii="Arial" w:eastAsia="Arial" w:hAnsi="Arial" w:cs="Arial"/>
          <w:sz w:val="18"/>
          <w:szCs w:val="18"/>
        </w:rPr>
      </w:pPr>
      <w:r w:rsidRPr="006A4586">
        <w:rPr>
          <w:rFonts w:eastAsia="Times New Roman"/>
          <w:sz w:val="18"/>
          <w:szCs w:val="18"/>
        </w:rPr>
        <w:t>CI=confidence interval, MD=mean dif</w:t>
      </w:r>
      <w:r w:rsidRPr="004D7017">
        <w:rPr>
          <w:rFonts w:eastAsia="Times New Roman"/>
          <w:sz w:val="18"/>
          <w:szCs w:val="18"/>
        </w:rPr>
        <w:t xml:space="preserve">ference, </w:t>
      </w:r>
      <w:r w:rsidR="004D7017" w:rsidRPr="004D7017">
        <w:rPr>
          <w:rFonts w:eastAsia="Arial"/>
          <w:sz w:val="18"/>
          <w:szCs w:val="18"/>
        </w:rPr>
        <w:t>MFG-A=multifamily group therapy-adherence, MFG-S=</w:t>
      </w:r>
      <w:r w:rsidR="00C90148" w:rsidRPr="004D7017">
        <w:rPr>
          <w:rFonts w:eastAsia="Arial"/>
          <w:sz w:val="18"/>
          <w:szCs w:val="18"/>
        </w:rPr>
        <w:t>multifamily</w:t>
      </w:r>
      <w:r w:rsidR="004D7017" w:rsidRPr="004D7017">
        <w:rPr>
          <w:rFonts w:eastAsia="Arial"/>
          <w:sz w:val="18"/>
          <w:szCs w:val="18"/>
        </w:rPr>
        <w:t xml:space="preserve"> group therapy-standard,</w:t>
      </w:r>
      <w:r w:rsidR="004D7017" w:rsidRPr="004D7017">
        <w:rPr>
          <w:rFonts w:eastAsia="Times New Roman"/>
          <w:sz w:val="18"/>
          <w:szCs w:val="18"/>
        </w:rPr>
        <w:t xml:space="preserve"> </w:t>
      </w:r>
      <w:r w:rsidRPr="004D7017">
        <w:rPr>
          <w:rFonts w:eastAsia="Times New Roman"/>
          <w:sz w:val="18"/>
          <w:szCs w:val="18"/>
        </w:rPr>
        <w:t>SD=s</w:t>
      </w:r>
      <w:r>
        <w:rPr>
          <w:rFonts w:eastAsia="Times New Roman"/>
          <w:sz w:val="18"/>
          <w:szCs w:val="18"/>
        </w:rPr>
        <w:t>tandard deviation</w:t>
      </w:r>
      <w:r w:rsidR="004D7017" w:rsidRPr="004D7017">
        <w:rPr>
          <w:rFonts w:ascii="Arial" w:eastAsia="Arial" w:hAnsi="Arial" w:cs="Arial"/>
          <w:sz w:val="18"/>
          <w:szCs w:val="18"/>
        </w:rPr>
        <w:t xml:space="preserve"> </w:t>
      </w:r>
    </w:p>
    <w:sectPr w:rsidR="0051557A" w:rsidRPr="004D7017" w:rsidSect="004C629C">
      <w:footerReference w:type="default" r:id="rId9"/>
      <w:pgSz w:w="15840" w:h="12240" w:orient="landscape" w:code="1"/>
      <w:pgMar w:top="980" w:right="720" w:bottom="576" w:left="720" w:header="720" w:footer="432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EAE" w:rsidRDefault="00090EAE" w:rsidP="00317EF8">
      <w:r>
        <w:separator/>
      </w:r>
    </w:p>
  </w:endnote>
  <w:endnote w:type="continuationSeparator" w:id="1">
    <w:p w:rsidR="00090EAE" w:rsidRDefault="00090EAE" w:rsidP="00317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EC0" w:rsidRDefault="00C72EC0" w:rsidP="00DB036F">
    <w:pPr>
      <w:pStyle w:val="Footer"/>
      <w:tabs>
        <w:tab w:val="left" w:pos="6120"/>
        <w:tab w:val="center" w:pos="7142"/>
      </w:tabs>
    </w:pPr>
    <w:r>
      <w:tab/>
    </w:r>
    <w:r>
      <w:tab/>
    </w:r>
    <w:r>
      <w:tab/>
      <w:t>E-</w:t>
    </w:r>
    <w:r w:rsidR="00EB5B1E">
      <w:fldChar w:fldCharType="begin"/>
    </w:r>
    <w:r>
      <w:instrText xml:space="preserve"> PAGE   \* MERGEFORMAT </w:instrText>
    </w:r>
    <w:r w:rsidR="00EB5B1E">
      <w:fldChar w:fldCharType="separate"/>
    </w:r>
    <w:r w:rsidR="00331D6A">
      <w:rPr>
        <w:noProof/>
      </w:rPr>
      <w:t>94</w:t>
    </w:r>
    <w:r w:rsidR="00EB5B1E">
      <w:rPr>
        <w:noProof/>
      </w:rPr>
      <w:fldChar w:fldCharType="end"/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EC0" w:rsidRDefault="00C72EC0" w:rsidP="007B73D4">
    <w:pPr>
      <w:pStyle w:val="Footer"/>
      <w:tabs>
        <w:tab w:val="left" w:pos="6120"/>
        <w:tab w:val="center" w:pos="7142"/>
      </w:tabs>
    </w:pPr>
    <w:r>
      <w:tab/>
    </w:r>
    <w:r>
      <w:tab/>
    </w:r>
    <w:r>
      <w:tab/>
    </w:r>
    <w:r w:rsidR="007B73D4">
      <w:t>E</w:t>
    </w:r>
    <w:r>
      <w:t>-</w:t>
    </w:r>
    <w:r w:rsidR="00EB5B1E">
      <w:fldChar w:fldCharType="begin"/>
    </w:r>
    <w:r>
      <w:instrText xml:space="preserve"> PAGE   \* MERGEFORMAT </w:instrText>
    </w:r>
    <w:r w:rsidR="00EB5B1E">
      <w:fldChar w:fldCharType="separate"/>
    </w:r>
    <w:r w:rsidR="00331D6A">
      <w:rPr>
        <w:noProof/>
      </w:rPr>
      <w:t>101</w:t>
    </w:r>
    <w:r w:rsidR="00EB5B1E">
      <w:rPr>
        <w:noProof/>
      </w:rPr>
      <w:fldChar w:fldCharType="end"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EAE" w:rsidRDefault="00090EAE" w:rsidP="00317EF8">
      <w:r>
        <w:separator/>
      </w:r>
    </w:p>
  </w:footnote>
  <w:footnote w:type="continuationSeparator" w:id="1">
    <w:p w:rsidR="00090EAE" w:rsidRDefault="00090EAE" w:rsidP="00317E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59C36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17C52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6D88A9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A30EBAB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2C8673F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E9B4635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29091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368FF2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25CE8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D4E0B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C047B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A3FAB"/>
    <w:multiLevelType w:val="hybridMultilevel"/>
    <w:tmpl w:val="E4A052AE"/>
    <w:lvl w:ilvl="0" w:tplc="6060B3B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A806EED"/>
    <w:multiLevelType w:val="hybridMultilevel"/>
    <w:tmpl w:val="9022D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7A22F2"/>
    <w:multiLevelType w:val="hybridMultilevel"/>
    <w:tmpl w:val="390CD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6046A3"/>
    <w:multiLevelType w:val="hybridMultilevel"/>
    <w:tmpl w:val="9016371A"/>
    <w:lvl w:ilvl="0" w:tplc="602CEA78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86179"/>
    <w:multiLevelType w:val="hybridMultilevel"/>
    <w:tmpl w:val="009E0D42"/>
    <w:lvl w:ilvl="0" w:tplc="915E29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75922"/>
    <w:multiLevelType w:val="hybridMultilevel"/>
    <w:tmpl w:val="C8365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D54BF"/>
    <w:multiLevelType w:val="hybridMultilevel"/>
    <w:tmpl w:val="466AD888"/>
    <w:lvl w:ilvl="0" w:tplc="28FCD232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90E27"/>
    <w:multiLevelType w:val="hybridMultilevel"/>
    <w:tmpl w:val="3326B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34255"/>
    <w:multiLevelType w:val="hybridMultilevel"/>
    <w:tmpl w:val="D2DE1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AA00A9"/>
    <w:multiLevelType w:val="hybridMultilevel"/>
    <w:tmpl w:val="A1F60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22A7D"/>
    <w:multiLevelType w:val="hybridMultilevel"/>
    <w:tmpl w:val="79E23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E5628"/>
    <w:multiLevelType w:val="hybridMultilevel"/>
    <w:tmpl w:val="221257DC"/>
    <w:lvl w:ilvl="0" w:tplc="48CC0786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B32207"/>
    <w:multiLevelType w:val="hybridMultilevel"/>
    <w:tmpl w:val="1FCAD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34D77"/>
    <w:multiLevelType w:val="hybridMultilevel"/>
    <w:tmpl w:val="625E2A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442D16"/>
    <w:multiLevelType w:val="hybridMultilevel"/>
    <w:tmpl w:val="1DA4A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24"/>
  </w:num>
  <w:num w:numId="4">
    <w:abstractNumId w:val="14"/>
  </w:num>
  <w:num w:numId="5">
    <w:abstractNumId w:val="27"/>
  </w:num>
  <w:num w:numId="6">
    <w:abstractNumId w:val="22"/>
  </w:num>
  <w:num w:numId="7">
    <w:abstractNumId w:val="16"/>
  </w:num>
  <w:num w:numId="8">
    <w:abstractNumId w:val="13"/>
  </w:num>
  <w:num w:numId="9">
    <w:abstractNumId w:val="17"/>
  </w:num>
  <w:num w:numId="10">
    <w:abstractNumId w:val="21"/>
  </w:num>
  <w:num w:numId="11">
    <w:abstractNumId w:val="26"/>
  </w:num>
  <w:num w:numId="12">
    <w:abstractNumId w:val="25"/>
  </w:num>
  <w:num w:numId="13">
    <w:abstractNumId w:val="11"/>
  </w:num>
  <w:num w:numId="14">
    <w:abstractNumId w:val="0"/>
  </w:num>
  <w:num w:numId="15">
    <w:abstractNumId w:val="18"/>
  </w:num>
  <w:num w:numId="16">
    <w:abstractNumId w:val="15"/>
  </w:num>
  <w:num w:numId="17">
    <w:abstractNumId w:val="20"/>
  </w:num>
  <w:num w:numId="18">
    <w:abstractNumId w:val="19"/>
  </w:num>
  <w:num w:numId="19">
    <w:abstractNumId w:val="10"/>
  </w:num>
  <w:num w:numId="20">
    <w:abstractNumId w:val="8"/>
  </w:num>
  <w:num w:numId="21">
    <w:abstractNumId w:val="7"/>
  </w:num>
  <w:num w:numId="22">
    <w:abstractNumId w:val="6"/>
  </w:num>
  <w:num w:numId="23">
    <w:abstractNumId w:val="5"/>
  </w:num>
  <w:num w:numId="24">
    <w:abstractNumId w:val="9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doNotTrackMoves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 20160401_PNW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vrf5s5d2wv95uezv20xept695e09fztav9v&quot;&gt;Schizophrenia Main ENL Final&lt;record-ids&gt;&lt;item&gt;1852&lt;/item&gt;&lt;item&gt;1868&lt;/item&gt;&lt;item&gt;1878&lt;/item&gt;&lt;item&gt;1950&lt;/item&gt;&lt;item&gt;1985&lt;/item&gt;&lt;item&gt;1998&lt;/item&gt;&lt;item&gt;2003&lt;/item&gt;&lt;item&gt;2004&lt;/item&gt;&lt;item&gt;2010&lt;/item&gt;&lt;item&gt;2056&lt;/item&gt;&lt;item&gt;2059&lt;/item&gt;&lt;item&gt;2061&lt;/item&gt;&lt;item&gt;2083&lt;/item&gt;&lt;item&gt;2108&lt;/item&gt;&lt;item&gt;2146&lt;/item&gt;&lt;item&gt;2148&lt;/item&gt;&lt;item&gt;2149&lt;/item&gt;&lt;item&gt;2175&lt;/item&gt;&lt;item&gt;2237&lt;/item&gt;&lt;item&gt;2274&lt;/item&gt;&lt;item&gt;2287&lt;/item&gt;&lt;item&gt;2288&lt;/item&gt;&lt;item&gt;2337&lt;/item&gt;&lt;item&gt;2340&lt;/item&gt;&lt;item&gt;2349&lt;/item&gt;&lt;item&gt;2353&lt;/item&gt;&lt;item&gt;2411&lt;/item&gt;&lt;item&gt;2412&lt;/item&gt;&lt;item&gt;2427&lt;/item&gt;&lt;item&gt;2438&lt;/item&gt;&lt;item&gt;2463&lt;/item&gt;&lt;item&gt;2472&lt;/item&gt;&lt;item&gt;2483&lt;/item&gt;&lt;item&gt;2490&lt;/item&gt;&lt;item&gt;2496&lt;/item&gt;&lt;item&gt;2497&lt;/item&gt;&lt;item&gt;2498&lt;/item&gt;&lt;item&gt;2549&lt;/item&gt;&lt;item&gt;2555&lt;/item&gt;&lt;item&gt;2580&lt;/item&gt;&lt;item&gt;2589&lt;/item&gt;&lt;item&gt;2651&lt;/item&gt;&lt;item&gt;2653&lt;/item&gt;&lt;item&gt;2687&lt;/item&gt;&lt;item&gt;2698&lt;/item&gt;&lt;item&gt;2725&lt;/item&gt;&lt;item&gt;2729&lt;/item&gt;&lt;item&gt;2730&lt;/item&gt;&lt;item&gt;2735&lt;/item&gt;&lt;item&gt;2748&lt;/item&gt;&lt;item&gt;2749&lt;/item&gt;&lt;item&gt;2756&lt;/item&gt;&lt;item&gt;2766&lt;/item&gt;&lt;item&gt;2780&lt;/item&gt;&lt;item&gt;2781&lt;/item&gt;&lt;item&gt;2788&lt;/item&gt;&lt;item&gt;2790&lt;/item&gt;&lt;item&gt;2792&lt;/item&gt;&lt;item&gt;3717&lt;/item&gt;&lt;item&gt;4688&lt;/item&gt;&lt;item&gt;4759&lt;/item&gt;&lt;item&gt;4768&lt;/item&gt;&lt;item&gt;4774&lt;/item&gt;&lt;item&gt;4775&lt;/item&gt;&lt;item&gt;4787&lt;/item&gt;&lt;item&gt;4790&lt;/item&gt;&lt;item&gt;4796&lt;/item&gt;&lt;item&gt;4814&lt;/item&gt;&lt;item&gt;4821&lt;/item&gt;&lt;item&gt;4824&lt;/item&gt;&lt;item&gt;4828&lt;/item&gt;&lt;item&gt;4832&lt;/item&gt;&lt;item&gt;4836&lt;/item&gt;&lt;item&gt;4850&lt;/item&gt;&lt;item&gt;4851&lt;/item&gt;&lt;item&gt;4852&lt;/item&gt;&lt;item&gt;4855&lt;/item&gt;&lt;item&gt;4856&lt;/item&gt;&lt;item&gt;4859&lt;/item&gt;&lt;item&gt;4871&lt;/item&gt;&lt;item&gt;4872&lt;/item&gt;&lt;item&gt;5077&lt;/item&gt;&lt;item&gt;5179&lt;/item&gt;&lt;item&gt;5186&lt;/item&gt;&lt;/record-ids&gt;&lt;/item&gt;&lt;/Libraries&gt;"/>
  </w:docVars>
  <w:rsids>
    <w:rsidRoot w:val="00D1288B"/>
    <w:rsid w:val="000050D0"/>
    <w:rsid w:val="00006486"/>
    <w:rsid w:val="00010477"/>
    <w:rsid w:val="00010727"/>
    <w:rsid w:val="00011E8B"/>
    <w:rsid w:val="00013132"/>
    <w:rsid w:val="00013DEC"/>
    <w:rsid w:val="00013E8A"/>
    <w:rsid w:val="0001549F"/>
    <w:rsid w:val="00015F2D"/>
    <w:rsid w:val="00023EF6"/>
    <w:rsid w:val="00024FB6"/>
    <w:rsid w:val="000276AB"/>
    <w:rsid w:val="00031024"/>
    <w:rsid w:val="000329A9"/>
    <w:rsid w:val="0003378A"/>
    <w:rsid w:val="00034534"/>
    <w:rsid w:val="00034B45"/>
    <w:rsid w:val="00041410"/>
    <w:rsid w:val="000418D5"/>
    <w:rsid w:val="000479DC"/>
    <w:rsid w:val="000512EF"/>
    <w:rsid w:val="00066FD4"/>
    <w:rsid w:val="000802AC"/>
    <w:rsid w:val="000828E0"/>
    <w:rsid w:val="00083829"/>
    <w:rsid w:val="000839BB"/>
    <w:rsid w:val="00090EAE"/>
    <w:rsid w:val="00091BE8"/>
    <w:rsid w:val="0009217F"/>
    <w:rsid w:val="00097504"/>
    <w:rsid w:val="000A2B9B"/>
    <w:rsid w:val="000A3E70"/>
    <w:rsid w:val="000B22DD"/>
    <w:rsid w:val="000B6AD3"/>
    <w:rsid w:val="000C16C0"/>
    <w:rsid w:val="000C2BAF"/>
    <w:rsid w:val="000C6E57"/>
    <w:rsid w:val="000D149C"/>
    <w:rsid w:val="000E5DB1"/>
    <w:rsid w:val="000E7A31"/>
    <w:rsid w:val="000F1096"/>
    <w:rsid w:val="000F3978"/>
    <w:rsid w:val="000F3FFF"/>
    <w:rsid w:val="00100070"/>
    <w:rsid w:val="001021CC"/>
    <w:rsid w:val="00105E52"/>
    <w:rsid w:val="001128DA"/>
    <w:rsid w:val="001147C8"/>
    <w:rsid w:val="00121DF6"/>
    <w:rsid w:val="0012763A"/>
    <w:rsid w:val="00127C51"/>
    <w:rsid w:val="00137186"/>
    <w:rsid w:val="0014025D"/>
    <w:rsid w:val="0015336C"/>
    <w:rsid w:val="00161946"/>
    <w:rsid w:val="001723C7"/>
    <w:rsid w:val="001749D3"/>
    <w:rsid w:val="00180836"/>
    <w:rsid w:val="00186C00"/>
    <w:rsid w:val="00192FC9"/>
    <w:rsid w:val="00193631"/>
    <w:rsid w:val="00195756"/>
    <w:rsid w:val="00195F0B"/>
    <w:rsid w:val="001A35F3"/>
    <w:rsid w:val="001A794E"/>
    <w:rsid w:val="001B2ED6"/>
    <w:rsid w:val="001B6008"/>
    <w:rsid w:val="001C296C"/>
    <w:rsid w:val="001C3A89"/>
    <w:rsid w:val="001D3866"/>
    <w:rsid w:val="001D4423"/>
    <w:rsid w:val="001D6F44"/>
    <w:rsid w:val="001E10DC"/>
    <w:rsid w:val="001E3666"/>
    <w:rsid w:val="001F5BCD"/>
    <w:rsid w:val="001F7864"/>
    <w:rsid w:val="00202773"/>
    <w:rsid w:val="00203F46"/>
    <w:rsid w:val="00204851"/>
    <w:rsid w:val="00206A6C"/>
    <w:rsid w:val="00210A53"/>
    <w:rsid w:val="0021200B"/>
    <w:rsid w:val="00223A33"/>
    <w:rsid w:val="0023578B"/>
    <w:rsid w:val="00240928"/>
    <w:rsid w:val="0024338C"/>
    <w:rsid w:val="00244668"/>
    <w:rsid w:val="002464AC"/>
    <w:rsid w:val="00247F82"/>
    <w:rsid w:val="00250AE8"/>
    <w:rsid w:val="00255B8E"/>
    <w:rsid w:val="00257D28"/>
    <w:rsid w:val="0026000C"/>
    <w:rsid w:val="00261C68"/>
    <w:rsid w:val="0026231B"/>
    <w:rsid w:val="00264C03"/>
    <w:rsid w:val="002660FC"/>
    <w:rsid w:val="00275BCC"/>
    <w:rsid w:val="0027614A"/>
    <w:rsid w:val="002835C6"/>
    <w:rsid w:val="00284CFC"/>
    <w:rsid w:val="00292710"/>
    <w:rsid w:val="00296B22"/>
    <w:rsid w:val="002A1586"/>
    <w:rsid w:val="002B3CBC"/>
    <w:rsid w:val="002E6AD5"/>
    <w:rsid w:val="002E7DD5"/>
    <w:rsid w:val="002F0791"/>
    <w:rsid w:val="002F0A0D"/>
    <w:rsid w:val="002F0B22"/>
    <w:rsid w:val="002F3EEC"/>
    <w:rsid w:val="002F47B4"/>
    <w:rsid w:val="002F57CC"/>
    <w:rsid w:val="002F6692"/>
    <w:rsid w:val="00300C8D"/>
    <w:rsid w:val="003047C7"/>
    <w:rsid w:val="00315019"/>
    <w:rsid w:val="00317EF8"/>
    <w:rsid w:val="00331D6A"/>
    <w:rsid w:val="00332AD1"/>
    <w:rsid w:val="003338F7"/>
    <w:rsid w:val="00334C4B"/>
    <w:rsid w:val="00340213"/>
    <w:rsid w:val="00347464"/>
    <w:rsid w:val="003627C3"/>
    <w:rsid w:val="003630E4"/>
    <w:rsid w:val="003672AA"/>
    <w:rsid w:val="0037316D"/>
    <w:rsid w:val="0037342C"/>
    <w:rsid w:val="00373513"/>
    <w:rsid w:val="00376DEC"/>
    <w:rsid w:val="00383CAF"/>
    <w:rsid w:val="00384534"/>
    <w:rsid w:val="00384BE5"/>
    <w:rsid w:val="00390320"/>
    <w:rsid w:val="003919DE"/>
    <w:rsid w:val="00397908"/>
    <w:rsid w:val="003A4E69"/>
    <w:rsid w:val="003A6208"/>
    <w:rsid w:val="003A6A17"/>
    <w:rsid w:val="003A6DC9"/>
    <w:rsid w:val="003B0DB9"/>
    <w:rsid w:val="003B1E25"/>
    <w:rsid w:val="003B2971"/>
    <w:rsid w:val="003B3681"/>
    <w:rsid w:val="003B5126"/>
    <w:rsid w:val="003C1B1D"/>
    <w:rsid w:val="003C395F"/>
    <w:rsid w:val="003D0717"/>
    <w:rsid w:val="003D09D0"/>
    <w:rsid w:val="003D1C0A"/>
    <w:rsid w:val="003D4B9D"/>
    <w:rsid w:val="003E66EC"/>
    <w:rsid w:val="003F160E"/>
    <w:rsid w:val="003F2B95"/>
    <w:rsid w:val="00401434"/>
    <w:rsid w:val="00401C15"/>
    <w:rsid w:val="00402FCA"/>
    <w:rsid w:val="004045BE"/>
    <w:rsid w:val="0040493F"/>
    <w:rsid w:val="00411FA8"/>
    <w:rsid w:val="004127A6"/>
    <w:rsid w:val="00414C7D"/>
    <w:rsid w:val="0042182E"/>
    <w:rsid w:val="00421BB5"/>
    <w:rsid w:val="00423232"/>
    <w:rsid w:val="00425DE2"/>
    <w:rsid w:val="00433AE5"/>
    <w:rsid w:val="00440809"/>
    <w:rsid w:val="0044785F"/>
    <w:rsid w:val="00450555"/>
    <w:rsid w:val="00452AB5"/>
    <w:rsid w:val="00454A35"/>
    <w:rsid w:val="00462168"/>
    <w:rsid w:val="00464DA5"/>
    <w:rsid w:val="00473207"/>
    <w:rsid w:val="004732C7"/>
    <w:rsid w:val="00481F76"/>
    <w:rsid w:val="00482F27"/>
    <w:rsid w:val="00492C5B"/>
    <w:rsid w:val="00494614"/>
    <w:rsid w:val="004958DE"/>
    <w:rsid w:val="0049719E"/>
    <w:rsid w:val="004A1C83"/>
    <w:rsid w:val="004C629C"/>
    <w:rsid w:val="004C6CC2"/>
    <w:rsid w:val="004C6F31"/>
    <w:rsid w:val="004D09DC"/>
    <w:rsid w:val="004D7017"/>
    <w:rsid w:val="004E0DC4"/>
    <w:rsid w:val="004E61EE"/>
    <w:rsid w:val="004F07CA"/>
    <w:rsid w:val="005012CC"/>
    <w:rsid w:val="00501619"/>
    <w:rsid w:val="00505C03"/>
    <w:rsid w:val="00506791"/>
    <w:rsid w:val="00511366"/>
    <w:rsid w:val="0051523B"/>
    <w:rsid w:val="0051538B"/>
    <w:rsid w:val="0051557A"/>
    <w:rsid w:val="0052217B"/>
    <w:rsid w:val="00527504"/>
    <w:rsid w:val="005472A9"/>
    <w:rsid w:val="00547F91"/>
    <w:rsid w:val="005510CF"/>
    <w:rsid w:val="005515F7"/>
    <w:rsid w:val="00554450"/>
    <w:rsid w:val="00556177"/>
    <w:rsid w:val="00560120"/>
    <w:rsid w:val="0056191A"/>
    <w:rsid w:val="0056606F"/>
    <w:rsid w:val="00570BD0"/>
    <w:rsid w:val="00576BF2"/>
    <w:rsid w:val="00583C18"/>
    <w:rsid w:val="00585895"/>
    <w:rsid w:val="00587C9C"/>
    <w:rsid w:val="00590D7F"/>
    <w:rsid w:val="0059129C"/>
    <w:rsid w:val="00593E7E"/>
    <w:rsid w:val="00596F9A"/>
    <w:rsid w:val="005A1CC0"/>
    <w:rsid w:val="005A3F02"/>
    <w:rsid w:val="005A6A8C"/>
    <w:rsid w:val="005B72DC"/>
    <w:rsid w:val="005C3184"/>
    <w:rsid w:val="005D25B7"/>
    <w:rsid w:val="005D7AAE"/>
    <w:rsid w:val="005E2FCC"/>
    <w:rsid w:val="005E325D"/>
    <w:rsid w:val="005E6BFE"/>
    <w:rsid w:val="005F2BE4"/>
    <w:rsid w:val="005F4AED"/>
    <w:rsid w:val="005F72A9"/>
    <w:rsid w:val="00607043"/>
    <w:rsid w:val="0060778E"/>
    <w:rsid w:val="00621DA4"/>
    <w:rsid w:val="00621EDF"/>
    <w:rsid w:val="00631C95"/>
    <w:rsid w:val="00634341"/>
    <w:rsid w:val="00640186"/>
    <w:rsid w:val="00641656"/>
    <w:rsid w:val="00641CAD"/>
    <w:rsid w:val="00642BE4"/>
    <w:rsid w:val="00643DE7"/>
    <w:rsid w:val="0065325F"/>
    <w:rsid w:val="006564F8"/>
    <w:rsid w:val="00664117"/>
    <w:rsid w:val="00670120"/>
    <w:rsid w:val="00671CF4"/>
    <w:rsid w:val="00673DC3"/>
    <w:rsid w:val="0067691D"/>
    <w:rsid w:val="00680BCC"/>
    <w:rsid w:val="0068776D"/>
    <w:rsid w:val="00687FEC"/>
    <w:rsid w:val="006962FA"/>
    <w:rsid w:val="00697AA8"/>
    <w:rsid w:val="006A2564"/>
    <w:rsid w:val="006A3232"/>
    <w:rsid w:val="006A3B96"/>
    <w:rsid w:val="006A4586"/>
    <w:rsid w:val="006A5EFB"/>
    <w:rsid w:val="006A77A5"/>
    <w:rsid w:val="006B1B48"/>
    <w:rsid w:val="006B1F79"/>
    <w:rsid w:val="006B35D6"/>
    <w:rsid w:val="006B47E1"/>
    <w:rsid w:val="006B7304"/>
    <w:rsid w:val="006C4D56"/>
    <w:rsid w:val="006D2062"/>
    <w:rsid w:val="006D26C3"/>
    <w:rsid w:val="006D6E27"/>
    <w:rsid w:val="006E0A23"/>
    <w:rsid w:val="006E1D07"/>
    <w:rsid w:val="006E3F60"/>
    <w:rsid w:val="006E61B1"/>
    <w:rsid w:val="0070220E"/>
    <w:rsid w:val="00703132"/>
    <w:rsid w:val="0071127E"/>
    <w:rsid w:val="007118F4"/>
    <w:rsid w:val="00714749"/>
    <w:rsid w:val="0072791B"/>
    <w:rsid w:val="00731EE3"/>
    <w:rsid w:val="00732D65"/>
    <w:rsid w:val="00733A93"/>
    <w:rsid w:val="007360FF"/>
    <w:rsid w:val="0074120F"/>
    <w:rsid w:val="00741338"/>
    <w:rsid w:val="00741B65"/>
    <w:rsid w:val="007513C9"/>
    <w:rsid w:val="00752936"/>
    <w:rsid w:val="0075440E"/>
    <w:rsid w:val="007573BD"/>
    <w:rsid w:val="00763221"/>
    <w:rsid w:val="007653DD"/>
    <w:rsid w:val="007654FB"/>
    <w:rsid w:val="00767B77"/>
    <w:rsid w:val="00774ABD"/>
    <w:rsid w:val="00783EFB"/>
    <w:rsid w:val="007868FE"/>
    <w:rsid w:val="00786A58"/>
    <w:rsid w:val="00787CC8"/>
    <w:rsid w:val="0079003B"/>
    <w:rsid w:val="00790BEA"/>
    <w:rsid w:val="00793F68"/>
    <w:rsid w:val="00795488"/>
    <w:rsid w:val="007974B3"/>
    <w:rsid w:val="007976D7"/>
    <w:rsid w:val="007A0F1C"/>
    <w:rsid w:val="007A48DA"/>
    <w:rsid w:val="007A4BF0"/>
    <w:rsid w:val="007B0FA8"/>
    <w:rsid w:val="007B1D0B"/>
    <w:rsid w:val="007B20C2"/>
    <w:rsid w:val="007B46E6"/>
    <w:rsid w:val="007B4A2C"/>
    <w:rsid w:val="007B5184"/>
    <w:rsid w:val="007B61A9"/>
    <w:rsid w:val="007B73D4"/>
    <w:rsid w:val="007C2037"/>
    <w:rsid w:val="007C2AD3"/>
    <w:rsid w:val="007C7EB2"/>
    <w:rsid w:val="007D05C4"/>
    <w:rsid w:val="007D2CCE"/>
    <w:rsid w:val="007D5A53"/>
    <w:rsid w:val="007E5861"/>
    <w:rsid w:val="007E5E05"/>
    <w:rsid w:val="007F1FA7"/>
    <w:rsid w:val="007F4829"/>
    <w:rsid w:val="007F5164"/>
    <w:rsid w:val="007F52F9"/>
    <w:rsid w:val="007F56B7"/>
    <w:rsid w:val="00800F60"/>
    <w:rsid w:val="00802399"/>
    <w:rsid w:val="008030CF"/>
    <w:rsid w:val="0080452D"/>
    <w:rsid w:val="00806806"/>
    <w:rsid w:val="00807AA7"/>
    <w:rsid w:val="008164DF"/>
    <w:rsid w:val="00846C09"/>
    <w:rsid w:val="00851080"/>
    <w:rsid w:val="00851F19"/>
    <w:rsid w:val="008555D3"/>
    <w:rsid w:val="008561DE"/>
    <w:rsid w:val="00860D07"/>
    <w:rsid w:val="00864E9E"/>
    <w:rsid w:val="008673BA"/>
    <w:rsid w:val="00870950"/>
    <w:rsid w:val="00871E8A"/>
    <w:rsid w:val="00877982"/>
    <w:rsid w:val="00880C17"/>
    <w:rsid w:val="0089175E"/>
    <w:rsid w:val="008943F7"/>
    <w:rsid w:val="00897E61"/>
    <w:rsid w:val="008A1DD9"/>
    <w:rsid w:val="008A1FC8"/>
    <w:rsid w:val="008A2174"/>
    <w:rsid w:val="008A64DF"/>
    <w:rsid w:val="008A677C"/>
    <w:rsid w:val="008B49A7"/>
    <w:rsid w:val="008B7815"/>
    <w:rsid w:val="008C2BE8"/>
    <w:rsid w:val="008C4D0A"/>
    <w:rsid w:val="008D0E42"/>
    <w:rsid w:val="008D6FD1"/>
    <w:rsid w:val="008E145F"/>
    <w:rsid w:val="008E58B3"/>
    <w:rsid w:val="008E5C74"/>
    <w:rsid w:val="008F3108"/>
    <w:rsid w:val="008F6979"/>
    <w:rsid w:val="008F7432"/>
    <w:rsid w:val="0090332A"/>
    <w:rsid w:val="00904DCF"/>
    <w:rsid w:val="00906F5E"/>
    <w:rsid w:val="00911ABC"/>
    <w:rsid w:val="009255C5"/>
    <w:rsid w:val="00926BF2"/>
    <w:rsid w:val="009307F2"/>
    <w:rsid w:val="009315ED"/>
    <w:rsid w:val="00935065"/>
    <w:rsid w:val="009360D9"/>
    <w:rsid w:val="00940E6A"/>
    <w:rsid w:val="0095176C"/>
    <w:rsid w:val="00960D3D"/>
    <w:rsid w:val="009630B3"/>
    <w:rsid w:val="00964311"/>
    <w:rsid w:val="00964BCF"/>
    <w:rsid w:val="0096511F"/>
    <w:rsid w:val="009671E4"/>
    <w:rsid w:val="00971FAA"/>
    <w:rsid w:val="00976356"/>
    <w:rsid w:val="0098356B"/>
    <w:rsid w:val="00987014"/>
    <w:rsid w:val="00994939"/>
    <w:rsid w:val="00995CEF"/>
    <w:rsid w:val="00997271"/>
    <w:rsid w:val="009B43F7"/>
    <w:rsid w:val="009C07BC"/>
    <w:rsid w:val="009C1780"/>
    <w:rsid w:val="009C2101"/>
    <w:rsid w:val="009C45B2"/>
    <w:rsid w:val="009C69B3"/>
    <w:rsid w:val="009D0839"/>
    <w:rsid w:val="009D1BEE"/>
    <w:rsid w:val="009D344D"/>
    <w:rsid w:val="009D3550"/>
    <w:rsid w:val="009D4FB9"/>
    <w:rsid w:val="009D5D75"/>
    <w:rsid w:val="009E5988"/>
    <w:rsid w:val="009E7F8A"/>
    <w:rsid w:val="009F2ECB"/>
    <w:rsid w:val="00A07C64"/>
    <w:rsid w:val="00A167C0"/>
    <w:rsid w:val="00A201A1"/>
    <w:rsid w:val="00A20743"/>
    <w:rsid w:val="00A22781"/>
    <w:rsid w:val="00A25CF4"/>
    <w:rsid w:val="00A324D7"/>
    <w:rsid w:val="00A334C9"/>
    <w:rsid w:val="00A34AC7"/>
    <w:rsid w:val="00A36698"/>
    <w:rsid w:val="00A431C8"/>
    <w:rsid w:val="00A53143"/>
    <w:rsid w:val="00A54FF3"/>
    <w:rsid w:val="00A557AC"/>
    <w:rsid w:val="00A57617"/>
    <w:rsid w:val="00A62BA6"/>
    <w:rsid w:val="00A64CA0"/>
    <w:rsid w:val="00A64FA5"/>
    <w:rsid w:val="00A66C24"/>
    <w:rsid w:val="00A67389"/>
    <w:rsid w:val="00A9161D"/>
    <w:rsid w:val="00A92747"/>
    <w:rsid w:val="00A933AE"/>
    <w:rsid w:val="00A96DFA"/>
    <w:rsid w:val="00AA3704"/>
    <w:rsid w:val="00AB0941"/>
    <w:rsid w:val="00AB5C58"/>
    <w:rsid w:val="00AC0573"/>
    <w:rsid w:val="00AC45A7"/>
    <w:rsid w:val="00AC6005"/>
    <w:rsid w:val="00AC7B67"/>
    <w:rsid w:val="00AD3E9B"/>
    <w:rsid w:val="00AE3FC3"/>
    <w:rsid w:val="00AE4650"/>
    <w:rsid w:val="00AE4684"/>
    <w:rsid w:val="00AF0FB4"/>
    <w:rsid w:val="00AF3702"/>
    <w:rsid w:val="00AF4F68"/>
    <w:rsid w:val="00AF5CCC"/>
    <w:rsid w:val="00AF5D98"/>
    <w:rsid w:val="00AF5F52"/>
    <w:rsid w:val="00AF69A6"/>
    <w:rsid w:val="00AF7982"/>
    <w:rsid w:val="00B02430"/>
    <w:rsid w:val="00B03967"/>
    <w:rsid w:val="00B05EC0"/>
    <w:rsid w:val="00B0643D"/>
    <w:rsid w:val="00B0746F"/>
    <w:rsid w:val="00B13310"/>
    <w:rsid w:val="00B14C0C"/>
    <w:rsid w:val="00B16EFD"/>
    <w:rsid w:val="00B17E1E"/>
    <w:rsid w:val="00B23EED"/>
    <w:rsid w:val="00B3263F"/>
    <w:rsid w:val="00B42F9C"/>
    <w:rsid w:val="00B5002D"/>
    <w:rsid w:val="00B50502"/>
    <w:rsid w:val="00B54D5C"/>
    <w:rsid w:val="00B61B02"/>
    <w:rsid w:val="00B6415D"/>
    <w:rsid w:val="00B6521D"/>
    <w:rsid w:val="00B744EA"/>
    <w:rsid w:val="00B81ABA"/>
    <w:rsid w:val="00B835D1"/>
    <w:rsid w:val="00B868D6"/>
    <w:rsid w:val="00B95F42"/>
    <w:rsid w:val="00B97997"/>
    <w:rsid w:val="00BA17AC"/>
    <w:rsid w:val="00BA1CAE"/>
    <w:rsid w:val="00BA2368"/>
    <w:rsid w:val="00BB1156"/>
    <w:rsid w:val="00BB4CBE"/>
    <w:rsid w:val="00BB5AB9"/>
    <w:rsid w:val="00BC1189"/>
    <w:rsid w:val="00BD7274"/>
    <w:rsid w:val="00BD7D75"/>
    <w:rsid w:val="00BE10AA"/>
    <w:rsid w:val="00BF0BE3"/>
    <w:rsid w:val="00BF505C"/>
    <w:rsid w:val="00C06000"/>
    <w:rsid w:val="00C0686C"/>
    <w:rsid w:val="00C07AEC"/>
    <w:rsid w:val="00C108A7"/>
    <w:rsid w:val="00C133CA"/>
    <w:rsid w:val="00C13561"/>
    <w:rsid w:val="00C15EA2"/>
    <w:rsid w:val="00C23546"/>
    <w:rsid w:val="00C240FC"/>
    <w:rsid w:val="00C27D37"/>
    <w:rsid w:val="00C30092"/>
    <w:rsid w:val="00C33705"/>
    <w:rsid w:val="00C37C6D"/>
    <w:rsid w:val="00C42778"/>
    <w:rsid w:val="00C42788"/>
    <w:rsid w:val="00C47837"/>
    <w:rsid w:val="00C51E7C"/>
    <w:rsid w:val="00C554AF"/>
    <w:rsid w:val="00C5686C"/>
    <w:rsid w:val="00C6333E"/>
    <w:rsid w:val="00C6776A"/>
    <w:rsid w:val="00C72EC0"/>
    <w:rsid w:val="00C75915"/>
    <w:rsid w:val="00C82C71"/>
    <w:rsid w:val="00C85BA1"/>
    <w:rsid w:val="00C87BBD"/>
    <w:rsid w:val="00C90148"/>
    <w:rsid w:val="00C96FE3"/>
    <w:rsid w:val="00CA0522"/>
    <w:rsid w:val="00CA47A6"/>
    <w:rsid w:val="00CA6367"/>
    <w:rsid w:val="00CB5D0F"/>
    <w:rsid w:val="00CB639A"/>
    <w:rsid w:val="00CD39E2"/>
    <w:rsid w:val="00CD4A5C"/>
    <w:rsid w:val="00CD7B5F"/>
    <w:rsid w:val="00CE3B74"/>
    <w:rsid w:val="00CE5793"/>
    <w:rsid w:val="00CE5F3A"/>
    <w:rsid w:val="00CE74E1"/>
    <w:rsid w:val="00CF53DF"/>
    <w:rsid w:val="00D00F7E"/>
    <w:rsid w:val="00D02DC4"/>
    <w:rsid w:val="00D02E4B"/>
    <w:rsid w:val="00D1288B"/>
    <w:rsid w:val="00D136FC"/>
    <w:rsid w:val="00D1774B"/>
    <w:rsid w:val="00D249BA"/>
    <w:rsid w:val="00D27E2F"/>
    <w:rsid w:val="00D34ED0"/>
    <w:rsid w:val="00D40FB3"/>
    <w:rsid w:val="00D44A52"/>
    <w:rsid w:val="00D457D0"/>
    <w:rsid w:val="00D4786F"/>
    <w:rsid w:val="00D51C8F"/>
    <w:rsid w:val="00D5635B"/>
    <w:rsid w:val="00D56957"/>
    <w:rsid w:val="00D60F82"/>
    <w:rsid w:val="00D61B52"/>
    <w:rsid w:val="00D62840"/>
    <w:rsid w:val="00D6634D"/>
    <w:rsid w:val="00D72D63"/>
    <w:rsid w:val="00D77192"/>
    <w:rsid w:val="00D777F8"/>
    <w:rsid w:val="00D806B3"/>
    <w:rsid w:val="00D818D9"/>
    <w:rsid w:val="00D83841"/>
    <w:rsid w:val="00D838FB"/>
    <w:rsid w:val="00D94703"/>
    <w:rsid w:val="00D94E36"/>
    <w:rsid w:val="00D95279"/>
    <w:rsid w:val="00D97F41"/>
    <w:rsid w:val="00DA2DDF"/>
    <w:rsid w:val="00DA2E25"/>
    <w:rsid w:val="00DA529B"/>
    <w:rsid w:val="00DB036F"/>
    <w:rsid w:val="00DB28E0"/>
    <w:rsid w:val="00DB2FF4"/>
    <w:rsid w:val="00DB56E6"/>
    <w:rsid w:val="00DB6698"/>
    <w:rsid w:val="00DB79F1"/>
    <w:rsid w:val="00DC4E66"/>
    <w:rsid w:val="00DD2279"/>
    <w:rsid w:val="00DD75BA"/>
    <w:rsid w:val="00DE0C40"/>
    <w:rsid w:val="00DE4758"/>
    <w:rsid w:val="00DF0649"/>
    <w:rsid w:val="00DF56F3"/>
    <w:rsid w:val="00DF63C1"/>
    <w:rsid w:val="00DF652E"/>
    <w:rsid w:val="00DF79B6"/>
    <w:rsid w:val="00E001D7"/>
    <w:rsid w:val="00E03470"/>
    <w:rsid w:val="00E06142"/>
    <w:rsid w:val="00E07337"/>
    <w:rsid w:val="00E16FE0"/>
    <w:rsid w:val="00E17B28"/>
    <w:rsid w:val="00E20110"/>
    <w:rsid w:val="00E21E9F"/>
    <w:rsid w:val="00E23BD2"/>
    <w:rsid w:val="00E25E8F"/>
    <w:rsid w:val="00E305A5"/>
    <w:rsid w:val="00E31CEB"/>
    <w:rsid w:val="00E3318D"/>
    <w:rsid w:val="00E338F9"/>
    <w:rsid w:val="00E41281"/>
    <w:rsid w:val="00E41E7C"/>
    <w:rsid w:val="00E514BD"/>
    <w:rsid w:val="00E5733A"/>
    <w:rsid w:val="00E57493"/>
    <w:rsid w:val="00E60008"/>
    <w:rsid w:val="00E61282"/>
    <w:rsid w:val="00E639E1"/>
    <w:rsid w:val="00E75622"/>
    <w:rsid w:val="00E86463"/>
    <w:rsid w:val="00E911F1"/>
    <w:rsid w:val="00E96BDA"/>
    <w:rsid w:val="00EA21A1"/>
    <w:rsid w:val="00EA49DD"/>
    <w:rsid w:val="00EA5AA8"/>
    <w:rsid w:val="00EB4D57"/>
    <w:rsid w:val="00EB5B1E"/>
    <w:rsid w:val="00EC121D"/>
    <w:rsid w:val="00EC59A1"/>
    <w:rsid w:val="00EC74B0"/>
    <w:rsid w:val="00ED6A26"/>
    <w:rsid w:val="00EE0231"/>
    <w:rsid w:val="00EE722B"/>
    <w:rsid w:val="00F07169"/>
    <w:rsid w:val="00F17DB9"/>
    <w:rsid w:val="00F20F33"/>
    <w:rsid w:val="00F24EB5"/>
    <w:rsid w:val="00F27A2E"/>
    <w:rsid w:val="00F3101E"/>
    <w:rsid w:val="00F34716"/>
    <w:rsid w:val="00F3630A"/>
    <w:rsid w:val="00F37271"/>
    <w:rsid w:val="00F37C49"/>
    <w:rsid w:val="00F41F9A"/>
    <w:rsid w:val="00F4443F"/>
    <w:rsid w:val="00F44C26"/>
    <w:rsid w:val="00F60D96"/>
    <w:rsid w:val="00F70243"/>
    <w:rsid w:val="00F708FE"/>
    <w:rsid w:val="00F7570E"/>
    <w:rsid w:val="00F75742"/>
    <w:rsid w:val="00F8192C"/>
    <w:rsid w:val="00F832B3"/>
    <w:rsid w:val="00F84CAA"/>
    <w:rsid w:val="00F852A4"/>
    <w:rsid w:val="00F95E5D"/>
    <w:rsid w:val="00FA418F"/>
    <w:rsid w:val="00FA6562"/>
    <w:rsid w:val="00FB0C79"/>
    <w:rsid w:val="00FB1B0A"/>
    <w:rsid w:val="00FC1301"/>
    <w:rsid w:val="00FC424D"/>
    <w:rsid w:val="00FC49A8"/>
    <w:rsid w:val="00FC64E5"/>
    <w:rsid w:val="00FC7785"/>
    <w:rsid w:val="00FD270D"/>
    <w:rsid w:val="00FD3637"/>
    <w:rsid w:val="00FD3659"/>
    <w:rsid w:val="00FD475B"/>
    <w:rsid w:val="00FD4E39"/>
    <w:rsid w:val="00FD6597"/>
    <w:rsid w:val="00FD6B47"/>
    <w:rsid w:val="00FE2B60"/>
    <w:rsid w:val="00FF1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87C9C"/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493"/>
    <w:pPr>
      <w:spacing w:after="60"/>
      <w:outlineLvl w:val="0"/>
    </w:pPr>
    <w:rPr>
      <w:rFonts w:ascii="Arial" w:eastAsia="Times New Roman" w:hAnsi="Arial" w:cs="Arial"/>
      <w:b/>
      <w:sz w:val="2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5B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5B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5B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5B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5BA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5BA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5B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5BA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EF8"/>
    <w:pPr>
      <w:spacing w:after="60"/>
    </w:pPr>
    <w:rPr>
      <w:rFonts w:ascii="Arial" w:hAnsi="Arial" w:cs="Arial"/>
      <w:b/>
      <w:sz w:val="20"/>
      <w:szCs w:val="20"/>
    </w:rPr>
  </w:style>
  <w:style w:type="character" w:customStyle="1" w:styleId="HeaderChar">
    <w:name w:val="Header Char"/>
    <w:link w:val="Header"/>
    <w:uiPriority w:val="99"/>
    <w:rsid w:val="00317EF8"/>
    <w:rPr>
      <w:rFonts w:ascii="Arial" w:hAnsi="Arial" w:cs="Arial"/>
      <w:b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1288B"/>
    <w:pPr>
      <w:widowControl w:val="0"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88B"/>
  </w:style>
  <w:style w:type="table" w:styleId="TableGrid">
    <w:name w:val="Table Grid"/>
    <w:basedOn w:val="TableNormal"/>
    <w:uiPriority w:val="39"/>
    <w:rsid w:val="00591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515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57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155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5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55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55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E57493"/>
    <w:rPr>
      <w:rFonts w:ascii="Arial" w:eastAsia="Times New Roman" w:hAnsi="Arial" w:cs="Arial"/>
      <w:b/>
      <w:sz w:val="20"/>
      <w:szCs w:val="28"/>
    </w:rPr>
  </w:style>
  <w:style w:type="paragraph" w:customStyle="1" w:styleId="ColorfulShading-Accent31">
    <w:name w:val="Colorful Shading - Accent 31"/>
    <w:basedOn w:val="Normal"/>
    <w:uiPriority w:val="34"/>
    <w:qFormat/>
    <w:rsid w:val="004D7017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EndNoteBibliographyTitle">
    <w:name w:val="EndNote Bibliography Title"/>
    <w:basedOn w:val="Normal"/>
    <w:link w:val="EndNoteBibliographyTitleChar"/>
    <w:rsid w:val="004D7017"/>
    <w:pPr>
      <w:jc w:val="center"/>
    </w:pPr>
    <w:rPr>
      <w:rFonts w:eastAsia="Times New Roman"/>
      <w:noProof/>
      <w:sz w:val="24"/>
      <w:szCs w:val="20"/>
    </w:rPr>
  </w:style>
  <w:style w:type="character" w:customStyle="1" w:styleId="EndNoteBibliographyTitleChar">
    <w:name w:val="EndNote Bibliography Title Char"/>
    <w:link w:val="EndNoteBibliographyTitle"/>
    <w:rsid w:val="004D7017"/>
    <w:rPr>
      <w:rFonts w:ascii="Times New Roman" w:eastAsia="Times New Roman" w:hAnsi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4D7017"/>
    <w:rPr>
      <w:rFonts w:eastAsia="Times New Roman"/>
      <w:noProof/>
      <w:sz w:val="24"/>
      <w:szCs w:val="20"/>
    </w:rPr>
  </w:style>
  <w:style w:type="character" w:customStyle="1" w:styleId="EndNoteBibliographyChar">
    <w:name w:val="EndNote Bibliography Char"/>
    <w:link w:val="EndNoteBibliography"/>
    <w:rsid w:val="004D7017"/>
    <w:rPr>
      <w:rFonts w:ascii="Times New Roman" w:eastAsia="Times New Roman" w:hAnsi="Times New Roman"/>
      <w:noProof/>
      <w:sz w:val="24"/>
    </w:rPr>
  </w:style>
  <w:style w:type="character" w:styleId="Hyperlink">
    <w:name w:val="Hyperlink"/>
    <w:uiPriority w:val="99"/>
    <w:unhideWhenUsed/>
    <w:rsid w:val="004D701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4D7017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4D701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rsid w:val="004D70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qFormat/>
    <w:rsid w:val="004D7017"/>
    <w:rPr>
      <w:b/>
      <w:bCs/>
    </w:rPr>
  </w:style>
  <w:style w:type="paragraph" w:customStyle="1" w:styleId="LightGrid-Accent31">
    <w:name w:val="Light Grid - Accent 31"/>
    <w:basedOn w:val="Normal"/>
    <w:qFormat/>
    <w:rsid w:val="004D7017"/>
    <w:pPr>
      <w:ind w:left="720"/>
      <w:contextualSpacing/>
    </w:pPr>
    <w:rPr>
      <w:rFonts w:ascii="Calibri" w:hAnsi="Calibri"/>
      <w:sz w:val="24"/>
    </w:rPr>
  </w:style>
  <w:style w:type="paragraph" w:customStyle="1" w:styleId="TableText">
    <w:name w:val="Table Text"/>
    <w:basedOn w:val="Normal"/>
    <w:next w:val="Normal"/>
    <w:rsid w:val="004D7017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Level4Heading">
    <w:name w:val="Level4Heading"/>
    <w:qFormat/>
    <w:rsid w:val="004D70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DarkList-Accent31">
    <w:name w:val="Dark List - Accent 31"/>
    <w:hidden/>
    <w:uiPriority w:val="99"/>
    <w:semiHidden/>
    <w:rsid w:val="004D7017"/>
    <w:rPr>
      <w:rFonts w:ascii="Times New Roman" w:eastAsia="Times New Roman" w:hAnsi="Times New Roman"/>
      <w:sz w:val="24"/>
    </w:rPr>
  </w:style>
  <w:style w:type="paragraph" w:customStyle="1" w:styleId="TableParagraph">
    <w:name w:val="Table Paragraph"/>
    <w:basedOn w:val="Normal"/>
    <w:uiPriority w:val="1"/>
    <w:qFormat/>
    <w:rsid w:val="009B43F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00C8D"/>
  </w:style>
  <w:style w:type="table" w:customStyle="1" w:styleId="TableGrid1">
    <w:name w:val="Table Grid1"/>
    <w:basedOn w:val="TableNormal"/>
    <w:next w:val="TableGrid"/>
    <w:uiPriority w:val="39"/>
    <w:rsid w:val="00300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300C8D"/>
  </w:style>
  <w:style w:type="table" w:customStyle="1" w:styleId="TableGrid2">
    <w:name w:val="Table Grid2"/>
    <w:basedOn w:val="TableNormal"/>
    <w:next w:val="TableGrid"/>
    <w:uiPriority w:val="39"/>
    <w:rsid w:val="00300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00C8D"/>
  </w:style>
  <w:style w:type="table" w:customStyle="1" w:styleId="TableGrid11">
    <w:name w:val="Table Grid11"/>
    <w:basedOn w:val="TableNormal"/>
    <w:next w:val="TableGrid"/>
    <w:uiPriority w:val="39"/>
    <w:rsid w:val="00300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E74E1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E74E1"/>
    <w:rPr>
      <w:rFonts w:ascii="Times New Roman" w:hAnsi="Times New Roman"/>
    </w:rPr>
  </w:style>
  <w:style w:type="character" w:styleId="EndnoteReference">
    <w:name w:val="endnote reference"/>
    <w:uiPriority w:val="99"/>
    <w:semiHidden/>
    <w:unhideWhenUsed/>
    <w:rsid w:val="00CE74E1"/>
    <w:rPr>
      <w:vertAlign w:val="superscript"/>
    </w:rPr>
  </w:style>
  <w:style w:type="paragraph" w:styleId="Revision">
    <w:name w:val="Revision"/>
    <w:hidden/>
    <w:uiPriority w:val="71"/>
    <w:rsid w:val="00494614"/>
    <w:rPr>
      <w:rFonts w:ascii="Times New Roman" w:hAnsi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2FF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B2FF4"/>
    <w:rPr>
      <w:rFonts w:ascii="Times New Roman" w:hAnsi="Times New Roman"/>
    </w:rPr>
  </w:style>
  <w:style w:type="character" w:styleId="FootnoteReference">
    <w:name w:val="footnote reference"/>
    <w:uiPriority w:val="99"/>
    <w:semiHidden/>
    <w:unhideWhenUsed/>
    <w:rsid w:val="00DB2FF4"/>
    <w:rPr>
      <w:vertAlign w:val="superscript"/>
    </w:rPr>
  </w:style>
  <w:style w:type="paragraph" w:customStyle="1" w:styleId="ParagraphIndent">
    <w:name w:val="ParagraphIndent"/>
    <w:qFormat/>
    <w:rsid w:val="00FD475B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D475B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FD475B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D475B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D475B"/>
    <w:rPr>
      <w:rFonts w:ascii="Arial" w:eastAsia="Times New Roman" w:hAnsi="Arial"/>
      <w:b/>
      <w:bCs/>
      <w:sz w:val="36"/>
      <w:szCs w:val="36"/>
    </w:rPr>
  </w:style>
  <w:style w:type="paragraph" w:customStyle="1" w:styleId="PageNumber">
    <w:name w:val="PageNumber"/>
    <w:qFormat/>
    <w:rsid w:val="00FD475B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FD475B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">
    <w:name w:val="ChapterHeading"/>
    <w:qFormat/>
    <w:rsid w:val="00FD475B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FD475B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FD475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FD475B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FD475B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FD475B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FD475B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">
    <w:name w:val="Level5Heading"/>
    <w:qFormat/>
    <w:rsid w:val="00FD475B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FD475B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">
    <w:name w:val="PreparedForText"/>
    <w:qFormat/>
    <w:rsid w:val="00FD475B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D475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D475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FD475B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FD475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D475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FD475B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FD475B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FD475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6Heading">
    <w:name w:val="Level6Heading"/>
    <w:qFormat/>
    <w:rsid w:val="00FD475B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FD475B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D475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FD475B"/>
    <w:pPr>
      <w:numPr>
        <w:numId w:val="1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D475B"/>
    <w:pPr>
      <w:numPr>
        <w:ilvl w:val="1"/>
        <w:numId w:val="17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Studies1">
    <w:name w:val="Studies1"/>
    <w:qFormat/>
    <w:rsid w:val="00FD475B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FD475B"/>
    <w:pPr>
      <w:numPr>
        <w:numId w:val="18"/>
      </w:numPr>
      <w:ind w:left="720"/>
    </w:pPr>
  </w:style>
  <w:style w:type="paragraph" w:customStyle="1" w:styleId="ReportSubtitle">
    <w:name w:val="ReportSubtitle"/>
    <w:qFormat/>
    <w:rsid w:val="00FD475B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FD475B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AcronymList">
    <w:name w:val="AcronymList"/>
    <w:basedOn w:val="ParagraphNoIndent"/>
    <w:qFormat/>
    <w:rsid w:val="00FD475B"/>
    <w:pPr>
      <w:tabs>
        <w:tab w:val="left" w:pos="2160"/>
      </w:tabs>
      <w:spacing w:before="60"/>
    </w:pPr>
  </w:style>
  <w:style w:type="paragraph" w:styleId="Bibliography">
    <w:name w:val="Bibliography"/>
    <w:basedOn w:val="Normal"/>
    <w:next w:val="Normal"/>
    <w:uiPriority w:val="70"/>
    <w:rsid w:val="00DD75BA"/>
  </w:style>
  <w:style w:type="paragraph" w:styleId="BlockText">
    <w:name w:val="Block Text"/>
    <w:basedOn w:val="Normal"/>
    <w:uiPriority w:val="99"/>
    <w:semiHidden/>
    <w:unhideWhenUsed/>
    <w:rsid w:val="00DD75BA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DD75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D75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D75B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75BA"/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D75B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D75B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D75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D75B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D75B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D75BA"/>
    <w:rPr>
      <w:rFonts w:ascii="Times New Roman" w:hAnsi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75BA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DD75BA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D75BA"/>
  </w:style>
  <w:style w:type="character" w:customStyle="1" w:styleId="DateChar">
    <w:name w:val="Date Char"/>
    <w:basedOn w:val="DefaultParagraphFont"/>
    <w:link w:val="Date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D75B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75B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D75B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DD75B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D75B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5B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5B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5B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5B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5B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5BA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5B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5BA"/>
    <w:rPr>
      <w:rFonts w:asciiTheme="majorHAnsi" w:eastAsiaTheme="majorEastAsia" w:hAnsiTheme="majorHAnsi" w:cstheme="majorBidi"/>
      <w:sz w:val="22"/>
      <w:szCs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D75B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D75BA"/>
    <w:rPr>
      <w:rFonts w:ascii="Times New Roman" w:hAnsi="Times New Roman"/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75BA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75BA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75BA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D75BA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D75BA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D75BA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D75BA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D75BA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D75BA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D75BA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D75BA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75B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DD75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DD75BA"/>
    <w:rPr>
      <w:rFonts w:ascii="Times New Roman" w:hAnsi="Times New Roman"/>
      <w:b/>
      <w:bCs/>
      <w:i/>
      <w:iCs/>
      <w:color w:val="4F81BD" w:themeColor="accent1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DD75B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D75B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D75B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D75B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D75B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D75BA"/>
    <w:pPr>
      <w:numPr>
        <w:numId w:val="1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D75BA"/>
    <w:pPr>
      <w:numPr>
        <w:numId w:val="2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D75BA"/>
    <w:pPr>
      <w:numPr>
        <w:numId w:val="2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D75BA"/>
    <w:pPr>
      <w:numPr>
        <w:numId w:val="2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D75BA"/>
    <w:pPr>
      <w:numPr>
        <w:numId w:val="2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D75B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D75B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D75B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D75B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D75B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D75BA"/>
    <w:pPr>
      <w:numPr>
        <w:numId w:val="2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D75BA"/>
    <w:pPr>
      <w:numPr>
        <w:numId w:val="2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D75BA"/>
    <w:pPr>
      <w:numPr>
        <w:numId w:val="2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D75BA"/>
    <w:pPr>
      <w:numPr>
        <w:numId w:val="2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D75BA"/>
    <w:pPr>
      <w:numPr>
        <w:numId w:val="28"/>
      </w:numPr>
      <w:contextualSpacing/>
    </w:pPr>
  </w:style>
  <w:style w:type="paragraph" w:styleId="ListParagraph">
    <w:name w:val="List Paragraph"/>
    <w:basedOn w:val="Normal"/>
    <w:uiPriority w:val="72"/>
    <w:qFormat/>
    <w:rsid w:val="00DD75BA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DD75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75BA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75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75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rsid w:val="00DD75BA"/>
    <w:rPr>
      <w:rFonts w:ascii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1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8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6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3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86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26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28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79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8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8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899224">
                                                              <w:marLeft w:val="0"/>
                                                              <w:marRight w:val="68"/>
                                                              <w:marTop w:val="0"/>
                                                              <w:marBottom w:val="6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807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409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202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959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7936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0090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39994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299910">
                                                                                      <w:marLeft w:val="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004720">
                                                                                      <w:marLeft w:val="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72732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07897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20279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60750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37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997207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802518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0746030">
                                                                                      <w:marLeft w:val="38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430717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4013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697771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1166820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8795855">
                                                                                      <w:marLeft w:val="38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7576583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37218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358833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6211903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715723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458638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975173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422862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575744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226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0598663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425390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5303442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653519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185372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177403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328146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096855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27293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6189593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9892812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4164580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4237043">
                                                                                      <w:marLeft w:val="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617485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646468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000648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566657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326211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503529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5587850">
                                                                                      <w:marLeft w:val="38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787291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369897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80226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58886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055293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802925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320310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83747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939135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414420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121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969457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006425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3992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183022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593070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1725518">
                                                                                      <w:marLeft w:val="38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043930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582155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106860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984878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442913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98352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8944492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096102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3356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694352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781242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5866772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7096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0742207">
                                                                                      <w:marLeft w:val="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63300-6311-4FB7-9F26-861BF3F83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12285</CharactersWithSpaces>
  <SharedDoc>false</SharedDoc>
  <HLinks>
    <vt:vector size="12" baseType="variant">
      <vt:variant>
        <vt:i4>5767193</vt:i4>
      </vt:variant>
      <vt:variant>
        <vt:i4>1013</vt:i4>
      </vt:variant>
      <vt:variant>
        <vt:i4>0</vt:i4>
      </vt:variant>
      <vt:variant>
        <vt:i4>5</vt:i4>
      </vt:variant>
      <vt:variant>
        <vt:lpwstr>C:\Users\jenae.benns\AppData\Local\Microsoft\Windows\Temporary Internet Files\Content.IE5\5Z79PZ98\www.effectivehealthcare.ahrq.gov\reports\final.cfm</vt:lpwstr>
      </vt:variant>
      <vt:variant>
        <vt:lpwstr/>
      </vt:variant>
      <vt:variant>
        <vt:i4>5374014</vt:i4>
      </vt:variant>
      <vt:variant>
        <vt:i4>1010</vt:i4>
      </vt:variant>
      <vt:variant>
        <vt:i4>0</vt:i4>
      </vt:variant>
      <vt:variant>
        <vt:i4>5</vt:i4>
      </vt:variant>
      <vt:variant>
        <vt:lpwstr>http://www.ohsu.edu/xd/research/centers-institutes/evidence-based-practice-center/drug-effectiveness-review-project/upload/SGA_final-update-4-report_Nov-2013_version-2.pdf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OHSU</dc:creator>
  <cp:lastModifiedBy>Venture</cp:lastModifiedBy>
  <cp:revision>4</cp:revision>
  <cp:lastPrinted>2017-04-26T19:30:00Z</cp:lastPrinted>
  <dcterms:created xsi:type="dcterms:W3CDTF">2018-03-03T11:19:00Z</dcterms:created>
  <dcterms:modified xsi:type="dcterms:W3CDTF">2018-03-05T04:26:00Z</dcterms:modified>
</cp:coreProperties>
</file>