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Pr="00DD7855" w:rsidRDefault="00F83FA1" w:rsidP="00F83FA1">
      <w:pPr>
        <w:pStyle w:val="TableTitle"/>
      </w:pPr>
      <w:r>
        <w:t>Table E</w:t>
      </w:r>
      <w:r>
        <w:rPr>
          <w:noProof/>
        </w:rPr>
        <w:t>15</w:t>
      </w:r>
      <w:r w:rsidRPr="003C65AE">
        <w:t xml:space="preserve">. </w:t>
      </w:r>
      <w:r w:rsidRPr="00E36BAC">
        <w:t>Benefits</w:t>
      </w:r>
      <w:r>
        <w:t xml:space="preserve"> and risks </w:t>
      </w:r>
      <w:r w:rsidRPr="003C65AE">
        <w:t>of second-generation</w:t>
      </w:r>
      <w:r>
        <w:t xml:space="preserve"> antidepressants compared with St. John’s wort monotherapy</w:t>
      </w:r>
    </w:p>
    <w:tbl>
      <w:tblPr>
        <w:tblStyle w:val="AHRQ1"/>
        <w:tblW w:w="5223" w:type="pct"/>
        <w:tblLayout w:type="fixed"/>
        <w:tblLook w:val="04A0"/>
      </w:tblPr>
      <w:tblGrid>
        <w:gridCol w:w="1657"/>
        <w:gridCol w:w="1291"/>
        <w:gridCol w:w="1288"/>
        <w:gridCol w:w="1060"/>
        <w:gridCol w:w="1292"/>
        <w:gridCol w:w="1236"/>
        <w:gridCol w:w="2179"/>
      </w:tblGrid>
      <w:tr w:rsidR="00F83FA1" w:rsidRPr="004127B6" w:rsidTr="00F83FA1">
        <w:trPr>
          <w:cnfStyle w:val="100000000000"/>
          <w:trHeight w:val="651"/>
        </w:trPr>
        <w:tc>
          <w:tcPr>
            <w:tcW w:w="828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>Outcomes</w:t>
            </w:r>
          </w:p>
        </w:tc>
        <w:tc>
          <w:tcPr>
            <w:tcW w:w="645" w:type="pct"/>
            <w:hideMark/>
          </w:tcPr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rFonts w:eastAsiaTheme="minorEastAsia"/>
                <w:color w:val="000000"/>
              </w:rPr>
              <w:t>Anticipated Absolute Effects</w:t>
            </w:r>
            <w:r w:rsidRPr="0033555D">
              <w:rPr>
                <w:rFonts w:eastAsiaTheme="minorEastAsia"/>
                <w:color w:val="000000"/>
                <w:vertAlign w:val="superscript"/>
              </w:rPr>
              <w:t>a</w:t>
            </w:r>
            <w:r w:rsidRPr="0033555D">
              <w:rPr>
                <w:rFonts w:eastAsiaTheme="minorEastAsia"/>
                <w:color w:val="000000"/>
              </w:rPr>
              <w:t>:</w:t>
            </w:r>
          </w:p>
          <w:p w:rsidR="00F83FA1" w:rsidRPr="0033555D" w:rsidRDefault="00F83FA1" w:rsidP="00F83FA1">
            <w:pPr>
              <w:pStyle w:val="TableText"/>
              <w:rPr>
                <w:i/>
                <w:iCs/>
              </w:rPr>
            </w:pPr>
            <w:r w:rsidRPr="0033555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>and risk w</w:t>
            </w:r>
            <w:r w:rsidRPr="0033555D">
              <w:rPr>
                <w:rFonts w:eastAsiaTheme="minorEastAsia"/>
                <w:i/>
                <w:iCs/>
                <w:color w:val="000000"/>
              </w:rPr>
              <w:t>ith St. John’s Wort</w:t>
            </w:r>
          </w:p>
        </w:tc>
        <w:tc>
          <w:tcPr>
            <w:tcW w:w="644" w:type="pct"/>
          </w:tcPr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rFonts w:eastAsiaTheme="minorEastAsia"/>
                <w:color w:val="000000"/>
              </w:rPr>
              <w:t>Anticipated Absolute Effects</w:t>
            </w:r>
            <w:r w:rsidRPr="0033555D">
              <w:rPr>
                <w:rFonts w:eastAsiaTheme="minorEastAsia"/>
                <w:color w:val="000000"/>
                <w:vertAlign w:val="superscript"/>
              </w:rPr>
              <w:t>a</w:t>
            </w:r>
            <w:r w:rsidRPr="0033555D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33555D" w:rsidRDefault="00F83FA1" w:rsidP="00F83FA1">
            <w:pPr>
              <w:pStyle w:val="TableText"/>
              <w:rPr>
                <w:i/>
                <w:iCs/>
              </w:rPr>
            </w:pPr>
            <w:r w:rsidRPr="0033555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33555D">
              <w:rPr>
                <w:rFonts w:eastAsiaTheme="minorEastAsia"/>
                <w:i/>
                <w:iCs/>
                <w:color w:val="000000"/>
              </w:rPr>
              <w:t>with SGA</w:t>
            </w:r>
          </w:p>
        </w:tc>
        <w:tc>
          <w:tcPr>
            <w:tcW w:w="530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>Relative Effect</w:t>
            </w:r>
            <w:r w:rsidRPr="0033555D">
              <w:br/>
              <w:t xml:space="preserve">(95% CI) </w:t>
            </w:r>
          </w:p>
        </w:tc>
        <w:tc>
          <w:tcPr>
            <w:tcW w:w="646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 xml:space="preserve">Number of Participants </w:t>
            </w:r>
            <w:r w:rsidRPr="0033555D">
              <w:br/>
            </w:r>
            <w:r w:rsidRPr="00CE137C">
              <w:t>(Trials)</w:t>
            </w:r>
            <w:r w:rsidRPr="0033555D">
              <w:t xml:space="preserve"> </w:t>
            </w:r>
          </w:p>
        </w:tc>
        <w:tc>
          <w:tcPr>
            <w:tcW w:w="618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 xml:space="preserve">Strength of Evidence </w:t>
            </w:r>
          </w:p>
        </w:tc>
        <w:tc>
          <w:tcPr>
            <w:tcW w:w="1089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>Comments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9366DC" w:rsidRDefault="00F83FA1" w:rsidP="00F83FA1">
            <w:pPr>
              <w:pStyle w:val="TableText"/>
              <w:rPr>
                <w:bCs/>
              </w:rPr>
            </w:pPr>
            <w:r w:rsidRPr="009366DC">
              <w:rPr>
                <w:b/>
              </w:rPr>
              <w:t>Response</w:t>
            </w:r>
            <w:r w:rsidRPr="009366DC">
              <w:br/>
            </w:r>
            <w:r w:rsidRPr="009366DC">
              <w:rPr>
                <w:color w:val="000000"/>
              </w:rPr>
              <w:t>Assessed with: HAM-D</w:t>
            </w:r>
            <w:r w:rsidRPr="009366DC">
              <w:rPr>
                <w:color w:val="000000"/>
              </w:rPr>
              <w:br/>
            </w:r>
            <w:r>
              <w:rPr>
                <w:color w:val="000000"/>
              </w:rPr>
              <w:t>Followup</w:t>
            </w:r>
            <w:r w:rsidRPr="009366DC">
              <w:rPr>
                <w:color w:val="000000"/>
              </w:rPr>
              <w:t>: range 4-12 weeks</w:t>
            </w:r>
          </w:p>
        </w:tc>
        <w:tc>
          <w:tcPr>
            <w:tcW w:w="645" w:type="pct"/>
          </w:tcPr>
          <w:p w:rsidR="00F83FA1" w:rsidRPr="009366DC" w:rsidRDefault="00F83FA1" w:rsidP="00F83FA1">
            <w:pPr>
              <w:pStyle w:val="TableText"/>
              <w:rPr>
                <w:color w:val="000000"/>
              </w:rPr>
            </w:pPr>
            <w:r w:rsidRPr="009366DC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Pr="009366DC">
              <w:rPr>
                <w:color w:val="000000"/>
              </w:rPr>
              <w:t xml:space="preserve"> per 100</w:t>
            </w:r>
          </w:p>
        </w:tc>
        <w:tc>
          <w:tcPr>
            <w:tcW w:w="644" w:type="pct"/>
          </w:tcPr>
          <w:p w:rsidR="00F83FA1" w:rsidRPr="009366DC" w:rsidRDefault="00F83FA1" w:rsidP="00F83FA1">
            <w:pPr>
              <w:pStyle w:val="TableText"/>
              <w:rPr>
                <w:bCs/>
                <w:color w:val="000000"/>
              </w:rPr>
            </w:pPr>
            <w:r w:rsidRPr="009366D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52</w:t>
            </w:r>
            <w:r w:rsidRPr="009366DC">
              <w:rPr>
                <w:bCs/>
                <w:color w:val="000000"/>
              </w:rPr>
              <w:t xml:space="preserve"> per 100</w:t>
            </w:r>
            <w:r w:rsidRPr="009366DC">
              <w:rPr>
                <w:bCs/>
                <w:color w:val="000000"/>
              </w:rPr>
              <w:br/>
              <w:t>(4</w:t>
            </w:r>
            <w:r>
              <w:rPr>
                <w:bCs/>
                <w:color w:val="000000"/>
              </w:rPr>
              <w:t>5</w:t>
            </w:r>
            <w:r w:rsidRPr="009366DC">
              <w:rPr>
                <w:bCs/>
                <w:color w:val="000000"/>
              </w:rPr>
              <w:t xml:space="preserve"> to </w:t>
            </w:r>
            <w:r>
              <w:rPr>
                <w:bCs/>
                <w:color w:val="000000"/>
              </w:rPr>
              <w:t>60</w:t>
            </w:r>
            <w:r w:rsidRPr="009366DC">
              <w:rPr>
                <w:bCs/>
                <w:color w:val="000000"/>
              </w:rPr>
              <w:t>)</w:t>
            </w:r>
          </w:p>
        </w:tc>
        <w:tc>
          <w:tcPr>
            <w:tcW w:w="530" w:type="pct"/>
          </w:tcPr>
          <w:p w:rsidR="00F83FA1" w:rsidRPr="009366DC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9366DC">
              <w:rPr>
                <w:rFonts w:ascii="Arial" w:hAnsi="Arial" w:cs="Arial"/>
                <w:color w:val="000000"/>
                <w:szCs w:val="18"/>
              </w:rPr>
              <w:t>RR, 0.9</w:t>
            </w:r>
            <w:r>
              <w:rPr>
                <w:rFonts w:ascii="Arial" w:hAnsi="Arial" w:cs="Arial"/>
                <w:color w:val="000000"/>
                <w:szCs w:val="18"/>
              </w:rPr>
              <w:t>6</w:t>
            </w:r>
            <w:r w:rsidRPr="009366DC">
              <w:rPr>
                <w:rFonts w:ascii="Arial" w:hAnsi="Arial" w:cs="Arial"/>
                <w:color w:val="000000"/>
                <w:szCs w:val="18"/>
              </w:rPr>
              <w:br/>
              <w:t>(0.8</w:t>
            </w:r>
            <w:r>
              <w:rPr>
                <w:rFonts w:ascii="Arial" w:hAnsi="Arial" w:cs="Arial"/>
                <w:color w:val="000000"/>
                <w:szCs w:val="18"/>
              </w:rPr>
              <w:t>3</w:t>
            </w:r>
            <w:r w:rsidRPr="009366DC">
              <w:rPr>
                <w:rFonts w:ascii="Arial" w:hAnsi="Arial" w:cs="Arial"/>
                <w:color w:val="000000"/>
                <w:szCs w:val="18"/>
              </w:rPr>
              <w:t xml:space="preserve"> to 1.1</w:t>
            </w:r>
            <w:r>
              <w:rPr>
                <w:rFonts w:ascii="Arial" w:hAnsi="Arial" w:cs="Arial"/>
                <w:color w:val="000000"/>
                <w:szCs w:val="18"/>
              </w:rPr>
              <w:t>0</w:t>
            </w:r>
            <w:r w:rsidRPr="009366DC">
              <w:rPr>
                <w:rFonts w:ascii="Arial" w:hAnsi="Arial" w:cs="Arial"/>
                <w:color w:val="000000"/>
                <w:szCs w:val="18"/>
              </w:rPr>
              <w:t xml:space="preserve">) </w:t>
            </w:r>
          </w:p>
        </w:tc>
        <w:tc>
          <w:tcPr>
            <w:tcW w:w="646" w:type="pct"/>
          </w:tcPr>
          <w:p w:rsidR="00F83FA1" w:rsidRPr="009366DC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9366DC">
              <w:rPr>
                <w:rFonts w:ascii="Arial" w:hAnsi="Arial" w:cs="Arial"/>
                <w:color w:val="000000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Cs w:val="18"/>
              </w:rPr>
              <w:t>517</w:t>
            </w:r>
            <w:r w:rsidRPr="009366DC">
              <w:rPr>
                <w:rFonts w:ascii="Arial" w:hAnsi="Arial" w:cs="Arial"/>
                <w:color w:val="000000"/>
                <w:szCs w:val="18"/>
              </w:rPr>
              <w:br/>
              <w:t>(</w:t>
            </w:r>
            <w:r w:rsidRPr="00921802">
              <w:rPr>
                <w:rFonts w:ascii="Arial" w:hAnsi="Arial" w:cs="Arial"/>
                <w:color w:val="000000"/>
                <w:szCs w:val="18"/>
              </w:rPr>
              <w:t>9 trials</w:t>
            </w:r>
            <w:r w:rsidRPr="00921802">
              <w:rPr>
                <w:rFonts w:ascii="Times New Roman" w:hAnsi="Times New Roman"/>
                <w:noProof/>
                <w:szCs w:val="18"/>
                <w:vertAlign w:val="superscript"/>
              </w:rPr>
              <w:t>30-39</w:t>
            </w:r>
            <w:r w:rsidRPr="00CE0F09">
              <w:rPr>
                <w:rFonts w:ascii="Arial" w:hAnsi="Arial" w:cs="Arial"/>
                <w:szCs w:val="18"/>
              </w:rPr>
              <w:t xml:space="preserve">) </w:t>
            </w:r>
          </w:p>
        </w:tc>
        <w:tc>
          <w:tcPr>
            <w:tcW w:w="618" w:type="pct"/>
          </w:tcPr>
          <w:p w:rsidR="00F83FA1" w:rsidRPr="009366DC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Low</w:t>
            </w:r>
            <w:r w:rsidRPr="009366DC">
              <w:rPr>
                <w:rFonts w:ascii="Arial" w:hAnsi="Arial" w:cs="Arial"/>
                <w:color w:val="000000"/>
                <w:szCs w:val="18"/>
                <w:vertAlign w:val="superscript"/>
              </w:rPr>
              <w:t>b</w:t>
            </w:r>
            <w:r>
              <w:rPr>
                <w:rFonts w:ascii="Arial" w:hAnsi="Arial" w:cs="Arial"/>
                <w:color w:val="000000"/>
                <w:szCs w:val="18"/>
                <w:vertAlign w:val="superscript"/>
              </w:rPr>
              <w:t>,c</w:t>
            </w:r>
            <w:r w:rsidRPr="009366DC">
              <w:rPr>
                <w:rFonts w:ascii="Arial" w:hAnsi="Arial" w:cs="Arial"/>
                <w:color w:val="000000"/>
                <w:szCs w:val="18"/>
                <w:vertAlign w:val="superscript"/>
              </w:rPr>
              <w:t xml:space="preserve"> </w:t>
            </w:r>
          </w:p>
        </w:tc>
        <w:tc>
          <w:tcPr>
            <w:tcW w:w="1089" w:type="pct"/>
          </w:tcPr>
          <w:p w:rsidR="00F83FA1" w:rsidRPr="0058304D" w:rsidRDefault="00F83FA1" w:rsidP="00F83FA1">
            <w:pPr>
              <w:rPr>
                <w:rFonts w:ascii="Arial" w:hAnsi="Arial" w:cs="Arial"/>
                <w:szCs w:val="18"/>
              </w:rPr>
            </w:pPr>
            <w:r w:rsidRPr="0058304D">
              <w:rPr>
                <w:rFonts w:ascii="Arial" w:hAnsi="Arial" w:cs="Arial"/>
                <w:color w:val="000000"/>
                <w:szCs w:val="18"/>
              </w:rPr>
              <w:t xml:space="preserve">Evidence is based on the comparison of SSRIs with SJW. 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D67952" w:rsidRDefault="00F83FA1" w:rsidP="00F83FA1">
            <w:pPr>
              <w:pStyle w:val="TableText"/>
              <w:rPr>
                <w:bCs/>
              </w:rPr>
            </w:pPr>
            <w:r w:rsidRPr="00D67952">
              <w:rPr>
                <w:b/>
              </w:rPr>
              <w:t>Response in subgroup of older adults</w:t>
            </w:r>
          </w:p>
          <w:p w:rsidR="00F83FA1" w:rsidRPr="00D67952" w:rsidRDefault="00F83FA1" w:rsidP="00F83FA1">
            <w:pPr>
              <w:pStyle w:val="TableText"/>
              <w:rPr>
                <w:bCs/>
              </w:rPr>
            </w:pPr>
            <w:r w:rsidRPr="00D67952">
              <w:rPr>
                <w:bCs/>
              </w:rPr>
              <w:t>Assessed with: HAM-D</w:t>
            </w:r>
          </w:p>
          <w:p w:rsidR="00F83FA1" w:rsidRPr="0015466D" w:rsidRDefault="00F83FA1" w:rsidP="00F83FA1">
            <w:pPr>
              <w:pStyle w:val="TableText"/>
              <w:rPr>
                <w:bCs/>
              </w:rPr>
            </w:pPr>
            <w:r>
              <w:rPr>
                <w:bCs/>
              </w:rPr>
              <w:t>Followup</w:t>
            </w:r>
            <w:r w:rsidRPr="00D67952">
              <w:rPr>
                <w:bCs/>
              </w:rPr>
              <w:t>: mean 6 weeks</w:t>
            </w:r>
          </w:p>
        </w:tc>
        <w:tc>
          <w:tcPr>
            <w:tcW w:w="645" w:type="pct"/>
          </w:tcPr>
          <w:p w:rsidR="00F83FA1" w:rsidRPr="009366DC" w:rsidRDefault="00F83FA1" w:rsidP="00F83FA1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64 per 100</w:t>
            </w:r>
          </w:p>
        </w:tc>
        <w:tc>
          <w:tcPr>
            <w:tcW w:w="644" w:type="pct"/>
          </w:tcPr>
          <w:p w:rsidR="00F83FA1" w:rsidRDefault="00F83FA1" w:rsidP="00F83FA1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 per 100</w:t>
            </w:r>
          </w:p>
          <w:p w:rsidR="00F83FA1" w:rsidRPr="009366DC" w:rsidRDefault="00F83FA1" w:rsidP="00F83FA1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(43 to 71)</w:t>
            </w:r>
          </w:p>
        </w:tc>
        <w:tc>
          <w:tcPr>
            <w:tcW w:w="530" w:type="pct"/>
          </w:tcPr>
          <w:p w:rsidR="00F83FA1" w:rsidRPr="009366DC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RR, 0.83 (0.67 to 1.11)</w:t>
            </w:r>
          </w:p>
        </w:tc>
        <w:tc>
          <w:tcPr>
            <w:tcW w:w="646" w:type="pct"/>
          </w:tcPr>
          <w:p w:rsidR="00F83FA1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 xml:space="preserve">161 </w:t>
            </w:r>
          </w:p>
          <w:p w:rsidR="00F83FA1" w:rsidRPr="009366DC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(</w:t>
            </w:r>
            <w:r w:rsidRPr="00BD66CE">
              <w:rPr>
                <w:rFonts w:ascii="Arial" w:hAnsi="Arial" w:cs="Arial"/>
                <w:color w:val="000000"/>
                <w:szCs w:val="18"/>
              </w:rPr>
              <w:t>1 trial</w:t>
            </w:r>
            <w:r w:rsidRPr="00162433">
              <w:rPr>
                <w:rFonts w:ascii="Times New Roman" w:hAnsi="Times New Roman"/>
                <w:noProof/>
                <w:color w:val="000000" w:themeColor="text1"/>
                <w:szCs w:val="18"/>
                <w:vertAlign w:val="superscript"/>
              </w:rPr>
              <w:t>36</w:t>
            </w:r>
            <w:r w:rsidRPr="00DA7A0A">
              <w:rPr>
                <w:rFonts w:ascii="Arial" w:hAnsi="Arial" w:cs="Arial"/>
                <w:color w:val="000000" w:themeColor="text1"/>
                <w:szCs w:val="18"/>
              </w:rPr>
              <w:t>)</w:t>
            </w:r>
          </w:p>
        </w:tc>
        <w:tc>
          <w:tcPr>
            <w:tcW w:w="618" w:type="pct"/>
          </w:tcPr>
          <w:p w:rsidR="00F83FA1" w:rsidRPr="0015466D" w:rsidRDefault="00F83FA1" w:rsidP="00F83FA1">
            <w:pPr>
              <w:rPr>
                <w:rFonts w:ascii="Arial" w:hAnsi="Arial" w:cs="Arial"/>
                <w:color w:val="000000"/>
                <w:szCs w:val="18"/>
                <w:vertAlign w:val="superscript"/>
              </w:rPr>
            </w:pPr>
            <w:r w:rsidRPr="003078F3">
              <w:rPr>
                <w:rFonts w:ascii="Arial" w:hAnsi="Arial" w:cs="Arial"/>
                <w:color w:val="000000"/>
                <w:szCs w:val="18"/>
              </w:rPr>
              <w:t>Low</w:t>
            </w:r>
            <w:r>
              <w:rPr>
                <w:rFonts w:ascii="Arial" w:hAnsi="Arial" w:cs="Arial"/>
                <w:color w:val="000000"/>
                <w:szCs w:val="18"/>
                <w:vertAlign w:val="superscript"/>
              </w:rPr>
              <w:t>e</w:t>
            </w:r>
          </w:p>
        </w:tc>
        <w:tc>
          <w:tcPr>
            <w:tcW w:w="1089" w:type="pct"/>
          </w:tcPr>
          <w:p w:rsidR="00F83FA1" w:rsidRPr="0058304D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58304D">
              <w:rPr>
                <w:rFonts w:ascii="Arial" w:hAnsi="Arial" w:cs="Arial"/>
                <w:color w:val="000000"/>
                <w:szCs w:val="18"/>
              </w:rPr>
              <w:t>Comparison limited to fluoxetine and SJW in older adults (60 to 80 years)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9366DC" w:rsidRDefault="00F83FA1" w:rsidP="00F83FA1">
            <w:pPr>
              <w:pStyle w:val="TableText"/>
              <w:rPr>
                <w:bCs/>
              </w:rPr>
            </w:pPr>
            <w:r w:rsidRPr="009366DC">
              <w:rPr>
                <w:b/>
              </w:rPr>
              <w:t>Remission</w:t>
            </w:r>
            <w:r w:rsidRPr="009366DC">
              <w:br/>
            </w:r>
            <w:r>
              <w:rPr>
                <w:color w:val="000000"/>
              </w:rPr>
              <w:t>A</w:t>
            </w:r>
            <w:r w:rsidRPr="009366DC">
              <w:rPr>
                <w:color w:val="000000"/>
              </w:rPr>
              <w:t>ssessed with: HAM-D</w:t>
            </w:r>
            <w:r w:rsidRPr="009366DC">
              <w:rPr>
                <w:color w:val="000000"/>
              </w:rPr>
              <w:br/>
            </w:r>
            <w:r>
              <w:rPr>
                <w:color w:val="000000"/>
              </w:rPr>
              <w:t>followup</w:t>
            </w:r>
            <w:r w:rsidRPr="009366DC">
              <w:rPr>
                <w:color w:val="000000"/>
              </w:rPr>
              <w:t>: mean 13 weeks</w:t>
            </w:r>
          </w:p>
        </w:tc>
        <w:tc>
          <w:tcPr>
            <w:tcW w:w="645" w:type="pct"/>
          </w:tcPr>
          <w:p w:rsidR="00F83FA1" w:rsidRPr="009366DC" w:rsidRDefault="00F83FA1" w:rsidP="00F83FA1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9366DC">
              <w:rPr>
                <w:color w:val="000000"/>
              </w:rPr>
              <w:t xml:space="preserve"> per 100</w:t>
            </w:r>
          </w:p>
        </w:tc>
        <w:tc>
          <w:tcPr>
            <w:tcW w:w="644" w:type="pct"/>
          </w:tcPr>
          <w:p w:rsidR="00F83FA1" w:rsidRPr="009366DC" w:rsidRDefault="00F83FA1" w:rsidP="00F83FA1">
            <w:pPr>
              <w:pStyle w:val="TableTex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9366DC">
              <w:rPr>
                <w:bCs/>
                <w:color w:val="000000"/>
              </w:rPr>
              <w:t xml:space="preserve"> per 100</w:t>
            </w:r>
            <w:r w:rsidRPr="009366DC">
              <w:rPr>
                <w:bCs/>
                <w:color w:val="000000"/>
              </w:rPr>
              <w:br/>
              <w:t>(</w:t>
            </w:r>
            <w:r>
              <w:rPr>
                <w:bCs/>
                <w:color w:val="000000"/>
              </w:rPr>
              <w:t>24</w:t>
            </w:r>
            <w:r w:rsidRPr="009366DC">
              <w:rPr>
                <w:bCs/>
                <w:color w:val="000000"/>
              </w:rPr>
              <w:t xml:space="preserve"> to </w:t>
            </w:r>
            <w:r>
              <w:rPr>
                <w:bCs/>
                <w:color w:val="000000"/>
              </w:rPr>
              <w:t>3</w:t>
            </w:r>
            <w:r w:rsidRPr="009366DC">
              <w:rPr>
                <w:bCs/>
                <w:color w:val="000000"/>
              </w:rPr>
              <w:t>6)</w:t>
            </w:r>
          </w:p>
        </w:tc>
        <w:tc>
          <w:tcPr>
            <w:tcW w:w="530" w:type="pct"/>
          </w:tcPr>
          <w:p w:rsidR="00F83FA1" w:rsidRPr="009366DC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9366DC">
              <w:rPr>
                <w:rFonts w:ascii="Arial" w:hAnsi="Arial" w:cs="Arial"/>
                <w:color w:val="000000"/>
                <w:szCs w:val="18"/>
              </w:rPr>
              <w:t>RR, 0.8</w:t>
            </w:r>
            <w:r>
              <w:rPr>
                <w:rFonts w:ascii="Arial" w:hAnsi="Arial" w:cs="Arial"/>
                <w:color w:val="000000"/>
                <w:szCs w:val="18"/>
              </w:rPr>
              <w:t>2</w:t>
            </w:r>
            <w:r w:rsidRPr="009366DC">
              <w:rPr>
                <w:rFonts w:ascii="Arial" w:hAnsi="Arial" w:cs="Arial"/>
                <w:color w:val="000000"/>
                <w:szCs w:val="18"/>
              </w:rPr>
              <w:br/>
              <w:t>(0.6</w:t>
            </w:r>
            <w:r>
              <w:rPr>
                <w:rFonts w:ascii="Arial" w:hAnsi="Arial" w:cs="Arial"/>
                <w:color w:val="000000"/>
                <w:szCs w:val="18"/>
              </w:rPr>
              <w:t>7</w:t>
            </w:r>
            <w:r w:rsidRPr="009366DC">
              <w:rPr>
                <w:rFonts w:ascii="Arial" w:hAnsi="Arial" w:cs="Arial"/>
                <w:color w:val="000000"/>
                <w:szCs w:val="18"/>
              </w:rPr>
              <w:t xml:space="preserve"> to 1.0</w:t>
            </w:r>
            <w:r>
              <w:rPr>
                <w:rFonts w:ascii="Arial" w:hAnsi="Arial" w:cs="Arial"/>
                <w:color w:val="000000"/>
                <w:szCs w:val="18"/>
              </w:rPr>
              <w:t>0</w:t>
            </w:r>
            <w:r w:rsidRPr="009366DC">
              <w:rPr>
                <w:rFonts w:ascii="Arial" w:hAnsi="Arial" w:cs="Arial"/>
                <w:color w:val="000000"/>
                <w:szCs w:val="18"/>
              </w:rPr>
              <w:t xml:space="preserve">) </w:t>
            </w:r>
          </w:p>
        </w:tc>
        <w:tc>
          <w:tcPr>
            <w:tcW w:w="646" w:type="pct"/>
          </w:tcPr>
          <w:p w:rsidR="00F83FA1" w:rsidRPr="009366DC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768</w:t>
            </w:r>
            <w:r w:rsidRPr="009366DC">
              <w:rPr>
                <w:rFonts w:ascii="Arial" w:hAnsi="Arial" w:cs="Arial"/>
                <w:color w:val="000000"/>
                <w:szCs w:val="18"/>
              </w:rPr>
              <w:br/>
              <w:t>(</w:t>
            </w:r>
            <w:r w:rsidRPr="00921802">
              <w:rPr>
                <w:rFonts w:ascii="Arial" w:hAnsi="Arial" w:cs="Arial"/>
                <w:color w:val="000000"/>
                <w:szCs w:val="18"/>
              </w:rPr>
              <w:t>5 trials</w:t>
            </w:r>
            <w:r w:rsidRPr="00B75C73">
              <w:rPr>
                <w:rFonts w:ascii="Times New Roman" w:hAnsi="Times New Roman"/>
                <w:noProof/>
                <w:color w:val="000000"/>
                <w:szCs w:val="18"/>
                <w:vertAlign w:val="superscript"/>
              </w:rPr>
              <w:t>31,33,37,39-41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618" w:type="pct"/>
          </w:tcPr>
          <w:p w:rsidR="00F83FA1" w:rsidRPr="009366DC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Low</w:t>
            </w:r>
            <w:r>
              <w:rPr>
                <w:rFonts w:ascii="Arial" w:hAnsi="Arial" w:cs="Arial"/>
                <w:color w:val="000000"/>
                <w:szCs w:val="18"/>
                <w:vertAlign w:val="superscript"/>
              </w:rPr>
              <w:t>c,d</w:t>
            </w:r>
            <w:r w:rsidRPr="009366DC">
              <w:rPr>
                <w:rFonts w:ascii="Arial" w:hAnsi="Arial" w:cs="Arial"/>
                <w:color w:val="000000"/>
                <w:szCs w:val="18"/>
                <w:vertAlign w:val="superscript"/>
              </w:rPr>
              <w:t> </w:t>
            </w:r>
          </w:p>
        </w:tc>
        <w:tc>
          <w:tcPr>
            <w:tcW w:w="1089" w:type="pct"/>
          </w:tcPr>
          <w:p w:rsidR="00F83FA1" w:rsidRPr="0058304D" w:rsidRDefault="00F83FA1" w:rsidP="00F83FA1">
            <w:pPr>
              <w:rPr>
                <w:rFonts w:ascii="Arial" w:hAnsi="Arial" w:cs="Arial"/>
                <w:szCs w:val="18"/>
              </w:rPr>
            </w:pPr>
            <w:r w:rsidRPr="0058304D">
              <w:rPr>
                <w:rFonts w:ascii="Arial" w:hAnsi="Arial" w:cs="Arial"/>
                <w:color w:val="000000"/>
                <w:szCs w:val="18"/>
              </w:rPr>
              <w:t>Evidence is based on the comparison of SSRIs with SJW.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9366DC" w:rsidRDefault="00F83FA1" w:rsidP="00F83FA1">
            <w:pPr>
              <w:pStyle w:val="TableText"/>
            </w:pPr>
            <w:r w:rsidRPr="009366DC">
              <w:rPr>
                <w:b/>
              </w:rPr>
              <w:t>Quality of life</w:t>
            </w:r>
            <w:r w:rsidRPr="009366DC">
              <w:t xml:space="preserve"> </w:t>
            </w:r>
          </w:p>
        </w:tc>
        <w:tc>
          <w:tcPr>
            <w:tcW w:w="645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44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30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46" w:type="pct"/>
          </w:tcPr>
          <w:p w:rsidR="00F83FA1" w:rsidRPr="009366DC" w:rsidRDefault="00F83FA1" w:rsidP="00F83FA1">
            <w:pPr>
              <w:pStyle w:val="TableText"/>
            </w:pPr>
            <w:r w:rsidRPr="009366DC">
              <w:t>0 (0 trials)</w:t>
            </w:r>
          </w:p>
        </w:tc>
        <w:tc>
          <w:tcPr>
            <w:tcW w:w="618" w:type="pct"/>
          </w:tcPr>
          <w:p w:rsidR="00F83FA1" w:rsidRPr="009366DC" w:rsidRDefault="00F83FA1" w:rsidP="00F83FA1">
            <w:pPr>
              <w:pStyle w:val="TableText"/>
            </w:pPr>
            <w:r w:rsidRPr="0058304D">
              <w:t>Insufficient</w:t>
            </w:r>
          </w:p>
        </w:tc>
        <w:tc>
          <w:tcPr>
            <w:tcW w:w="1089" w:type="pct"/>
          </w:tcPr>
          <w:p w:rsidR="00F83FA1" w:rsidRPr="009366DC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9366DC" w:rsidRDefault="00F83FA1" w:rsidP="00F83FA1">
            <w:pPr>
              <w:pStyle w:val="TableText"/>
              <w:rPr>
                <w:bCs/>
              </w:rPr>
            </w:pPr>
            <w:r w:rsidRPr="009366DC">
              <w:rPr>
                <w:b/>
              </w:rPr>
              <w:t>Functional capacity</w:t>
            </w:r>
          </w:p>
        </w:tc>
        <w:tc>
          <w:tcPr>
            <w:tcW w:w="645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44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30" w:type="pct"/>
          </w:tcPr>
          <w:p w:rsidR="00F83FA1" w:rsidRPr="002C671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46" w:type="pct"/>
          </w:tcPr>
          <w:p w:rsidR="00F83FA1" w:rsidRPr="009366DC" w:rsidRDefault="00F83FA1" w:rsidP="00F83FA1">
            <w:pPr>
              <w:pStyle w:val="TableText"/>
            </w:pPr>
            <w:r w:rsidRPr="009366DC">
              <w:t>0 (0 trials)</w:t>
            </w:r>
          </w:p>
        </w:tc>
        <w:tc>
          <w:tcPr>
            <w:tcW w:w="618" w:type="pct"/>
          </w:tcPr>
          <w:p w:rsidR="00F83FA1" w:rsidRPr="009366DC" w:rsidRDefault="00F83FA1" w:rsidP="00F83FA1">
            <w:pPr>
              <w:pStyle w:val="TableText"/>
            </w:pPr>
            <w:r w:rsidRPr="009366DC">
              <w:t>Insufficient</w:t>
            </w:r>
          </w:p>
        </w:tc>
        <w:tc>
          <w:tcPr>
            <w:tcW w:w="1089" w:type="pct"/>
          </w:tcPr>
          <w:p w:rsidR="00F83FA1" w:rsidRPr="009366DC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9366DC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Suicidal ideas or behaviors</w:t>
            </w:r>
          </w:p>
        </w:tc>
        <w:tc>
          <w:tcPr>
            <w:tcW w:w="645" w:type="pct"/>
          </w:tcPr>
          <w:p w:rsidR="00F83FA1" w:rsidRPr="002C671D" w:rsidRDefault="00F83FA1" w:rsidP="00F83FA1">
            <w:pPr>
              <w:pStyle w:val="TableText"/>
            </w:pPr>
            <w:r w:rsidRPr="00661CD4">
              <w:t>1 per 100</w:t>
            </w:r>
          </w:p>
        </w:tc>
        <w:tc>
          <w:tcPr>
            <w:tcW w:w="644" w:type="pct"/>
          </w:tcPr>
          <w:p w:rsidR="00F83FA1" w:rsidRPr="002C671D" w:rsidRDefault="00F83FA1" w:rsidP="00F83FA1">
            <w:pPr>
              <w:pStyle w:val="TableText"/>
            </w:pPr>
            <w:r w:rsidRPr="00661CD4">
              <w:t xml:space="preserve">1 per 100 (0 to </w:t>
            </w:r>
            <w:r>
              <w:t>6</w:t>
            </w:r>
            <w:r w:rsidRPr="00661CD4">
              <w:t xml:space="preserve">) </w:t>
            </w:r>
          </w:p>
        </w:tc>
        <w:tc>
          <w:tcPr>
            <w:tcW w:w="530" w:type="pct"/>
          </w:tcPr>
          <w:p w:rsidR="00F83FA1" w:rsidRPr="002C671D" w:rsidRDefault="00F83FA1" w:rsidP="00F83FA1">
            <w:pPr>
              <w:pStyle w:val="TableText"/>
            </w:pPr>
            <w:r w:rsidRPr="00661CD4">
              <w:rPr>
                <w:bCs/>
              </w:rPr>
              <w:t>RR, 1.03</w:t>
            </w:r>
            <w:r w:rsidRPr="00661CD4">
              <w:br/>
              <w:t>(0.</w:t>
            </w:r>
            <w:r>
              <w:t>11</w:t>
            </w:r>
            <w:r w:rsidRPr="00661CD4">
              <w:t xml:space="preserve"> to </w:t>
            </w:r>
            <w:r>
              <w:t>9.81</w:t>
            </w:r>
            <w:r w:rsidRPr="00661CD4">
              <w:t>)</w:t>
            </w:r>
          </w:p>
        </w:tc>
        <w:tc>
          <w:tcPr>
            <w:tcW w:w="646" w:type="pct"/>
          </w:tcPr>
          <w:p w:rsidR="00F83FA1" w:rsidRPr="009366DC" w:rsidRDefault="00F83FA1" w:rsidP="00F83FA1">
            <w:pPr>
              <w:pStyle w:val="TableText"/>
            </w:pPr>
            <w:r w:rsidRPr="00661CD4">
              <w:t>331 (</w:t>
            </w:r>
            <w:r>
              <w:t>2</w:t>
            </w:r>
            <w:r w:rsidRPr="00661CD4">
              <w:t xml:space="preserve"> trials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34,42</w:t>
            </w:r>
            <w:r w:rsidRPr="00661CD4">
              <w:t>)</w:t>
            </w:r>
          </w:p>
        </w:tc>
        <w:tc>
          <w:tcPr>
            <w:tcW w:w="618" w:type="pct"/>
          </w:tcPr>
          <w:p w:rsidR="00F83FA1" w:rsidRPr="009366DC" w:rsidRDefault="00F83FA1" w:rsidP="00F83FA1">
            <w:pPr>
              <w:pStyle w:val="TableText"/>
            </w:pPr>
            <w:r w:rsidRPr="00661CD4">
              <w:t>Insuffic</w:t>
            </w:r>
            <w:r>
              <w:t>i</w:t>
            </w:r>
            <w:r w:rsidRPr="00661CD4">
              <w:t>ent</w:t>
            </w:r>
            <w:r>
              <w:rPr>
                <w:vertAlign w:val="superscript"/>
              </w:rPr>
              <w:t>e</w:t>
            </w:r>
            <w:r w:rsidRPr="00661CD4">
              <w:rPr>
                <w:vertAlign w:val="superscript"/>
              </w:rPr>
              <w:t>,</w:t>
            </w:r>
            <w:r>
              <w:rPr>
                <w:vertAlign w:val="superscript"/>
              </w:rPr>
              <w:t>g</w:t>
            </w:r>
          </w:p>
        </w:tc>
        <w:tc>
          <w:tcPr>
            <w:tcW w:w="1089" w:type="pct"/>
          </w:tcPr>
          <w:p w:rsidR="00F83FA1" w:rsidRDefault="00F83FA1" w:rsidP="00F83FA1">
            <w:pPr>
              <w:pStyle w:val="TableText"/>
            </w:pPr>
            <w:r w:rsidRPr="00661CD4">
              <w:t>None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9366DC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Serious adverse events</w:t>
            </w:r>
          </w:p>
        </w:tc>
        <w:tc>
          <w:tcPr>
            <w:tcW w:w="645" w:type="pct"/>
          </w:tcPr>
          <w:p w:rsidR="00F83FA1" w:rsidRPr="002C671D" w:rsidRDefault="00F83FA1" w:rsidP="00F83FA1">
            <w:pPr>
              <w:pStyle w:val="TableText"/>
            </w:pPr>
            <w:r w:rsidRPr="00661CD4">
              <w:t xml:space="preserve">2 per 100 </w:t>
            </w:r>
          </w:p>
        </w:tc>
        <w:tc>
          <w:tcPr>
            <w:tcW w:w="644" w:type="pct"/>
          </w:tcPr>
          <w:p w:rsidR="00F83FA1" w:rsidRPr="002C671D" w:rsidRDefault="00F83FA1" w:rsidP="00F83FA1">
            <w:pPr>
              <w:pStyle w:val="TableText"/>
            </w:pPr>
            <w:r w:rsidRPr="00661CD4">
              <w:t xml:space="preserve">1 per 100 (0 to </w:t>
            </w:r>
            <w:r>
              <w:t>5</w:t>
            </w:r>
            <w:r w:rsidRPr="00661CD4">
              <w:t xml:space="preserve">) </w:t>
            </w:r>
          </w:p>
        </w:tc>
        <w:tc>
          <w:tcPr>
            <w:tcW w:w="530" w:type="pct"/>
          </w:tcPr>
          <w:p w:rsidR="00F83FA1" w:rsidRPr="002C671D" w:rsidRDefault="00F83FA1" w:rsidP="00F83FA1">
            <w:pPr>
              <w:pStyle w:val="TableText"/>
            </w:pPr>
            <w:r w:rsidRPr="00661CD4">
              <w:rPr>
                <w:bCs/>
              </w:rPr>
              <w:t>RR, 0.</w:t>
            </w:r>
            <w:r>
              <w:rPr>
                <w:bCs/>
              </w:rPr>
              <w:t>79</w:t>
            </w:r>
            <w:r w:rsidRPr="00661CD4">
              <w:br/>
              <w:t>(0.2</w:t>
            </w:r>
            <w:r>
              <w:t>3</w:t>
            </w:r>
            <w:r w:rsidRPr="00661CD4">
              <w:t xml:space="preserve"> to </w:t>
            </w:r>
            <w:r>
              <w:t>2.72</w:t>
            </w:r>
            <w:r w:rsidRPr="00661CD4">
              <w:t>)</w:t>
            </w:r>
          </w:p>
        </w:tc>
        <w:tc>
          <w:tcPr>
            <w:tcW w:w="646" w:type="pct"/>
          </w:tcPr>
          <w:p w:rsidR="00F83FA1" w:rsidRPr="009366DC" w:rsidRDefault="00F83FA1" w:rsidP="00F83FA1">
            <w:pPr>
              <w:pStyle w:val="TableText"/>
            </w:pPr>
            <w:r>
              <w:t>840</w:t>
            </w:r>
            <w:r w:rsidRPr="00661CD4">
              <w:t xml:space="preserve"> (</w:t>
            </w:r>
            <w:r>
              <w:t>4</w:t>
            </w:r>
            <w:r w:rsidRPr="00661CD4">
              <w:t xml:space="preserve"> trials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34,35,39,42</w:t>
            </w:r>
            <w:r w:rsidRPr="00661CD4">
              <w:t>)</w:t>
            </w:r>
            <w:r>
              <w:rPr>
                <w:bCs/>
                <w:vertAlign w:val="superscript"/>
              </w:rPr>
              <w:t xml:space="preserve"> </w:t>
            </w:r>
          </w:p>
        </w:tc>
        <w:tc>
          <w:tcPr>
            <w:tcW w:w="618" w:type="pct"/>
          </w:tcPr>
          <w:p w:rsidR="00F83FA1" w:rsidRPr="009366DC" w:rsidRDefault="00F83FA1" w:rsidP="00F83FA1">
            <w:pPr>
              <w:pStyle w:val="TableText"/>
            </w:pPr>
            <w:r w:rsidRPr="00661CD4">
              <w:t>Low</w:t>
            </w:r>
            <w:r>
              <w:rPr>
                <w:bCs/>
                <w:vertAlign w:val="superscript"/>
              </w:rPr>
              <w:t>e</w:t>
            </w:r>
          </w:p>
        </w:tc>
        <w:tc>
          <w:tcPr>
            <w:tcW w:w="1089" w:type="pct"/>
          </w:tcPr>
          <w:p w:rsidR="00F83FA1" w:rsidRDefault="00F83FA1" w:rsidP="00F83FA1">
            <w:pPr>
              <w:pStyle w:val="TableText"/>
            </w:pPr>
            <w:r w:rsidRPr="00661CD4">
              <w:t>None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9366DC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Overall r</w:t>
            </w:r>
            <w:r w:rsidRPr="00661CD4">
              <w:rPr>
                <w:b/>
              </w:rPr>
              <w:t>isk for adverse events</w:t>
            </w:r>
          </w:p>
        </w:tc>
        <w:tc>
          <w:tcPr>
            <w:tcW w:w="645" w:type="pct"/>
          </w:tcPr>
          <w:p w:rsidR="00F83FA1" w:rsidRPr="002C671D" w:rsidRDefault="00F83FA1" w:rsidP="00F83FA1">
            <w:pPr>
              <w:pStyle w:val="TableText"/>
            </w:pPr>
            <w:r w:rsidRPr="00661CD4">
              <w:t xml:space="preserve">39 per 100 </w:t>
            </w:r>
          </w:p>
        </w:tc>
        <w:tc>
          <w:tcPr>
            <w:tcW w:w="644" w:type="pct"/>
          </w:tcPr>
          <w:p w:rsidR="00F83FA1" w:rsidRPr="002C671D" w:rsidRDefault="00F83FA1" w:rsidP="00F83FA1">
            <w:pPr>
              <w:pStyle w:val="TableText"/>
            </w:pPr>
            <w:r w:rsidRPr="00661CD4">
              <w:t xml:space="preserve">47 per 100 (41 to 53) </w:t>
            </w:r>
          </w:p>
        </w:tc>
        <w:tc>
          <w:tcPr>
            <w:tcW w:w="530" w:type="pct"/>
          </w:tcPr>
          <w:p w:rsidR="00F83FA1" w:rsidRPr="002C671D" w:rsidRDefault="00F83FA1" w:rsidP="00F83FA1">
            <w:pPr>
              <w:pStyle w:val="TableText"/>
            </w:pPr>
            <w:r w:rsidRPr="00661CD4">
              <w:rPr>
                <w:bCs/>
              </w:rPr>
              <w:t>RR, 1.19</w:t>
            </w:r>
            <w:r w:rsidRPr="00661CD4">
              <w:br/>
              <w:t>(1.05 to 1.34)</w:t>
            </w:r>
          </w:p>
        </w:tc>
        <w:tc>
          <w:tcPr>
            <w:tcW w:w="646" w:type="pct"/>
          </w:tcPr>
          <w:p w:rsidR="00F83FA1" w:rsidRPr="009366DC" w:rsidRDefault="00F83FA1" w:rsidP="00F83FA1">
            <w:pPr>
              <w:pStyle w:val="TableText"/>
            </w:pPr>
            <w:r w:rsidRPr="00661CD4">
              <w:t>1427 (8 trials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30,31,34-36,38,39,42</w:t>
            </w:r>
            <w:r w:rsidRPr="00661CD4">
              <w:t>)</w:t>
            </w:r>
          </w:p>
        </w:tc>
        <w:tc>
          <w:tcPr>
            <w:tcW w:w="618" w:type="pct"/>
          </w:tcPr>
          <w:p w:rsidR="00F83FA1" w:rsidRPr="0058304D" w:rsidRDefault="00F83FA1" w:rsidP="00F83FA1">
            <w:pPr>
              <w:pStyle w:val="TableText"/>
            </w:pPr>
            <w:r w:rsidRPr="0058304D">
              <w:t>Moderate</w:t>
            </w:r>
            <w:r w:rsidRPr="0058304D">
              <w:rPr>
                <w:vertAlign w:val="superscript"/>
              </w:rPr>
              <w:t>d</w:t>
            </w:r>
          </w:p>
        </w:tc>
        <w:tc>
          <w:tcPr>
            <w:tcW w:w="1089" w:type="pct"/>
          </w:tcPr>
          <w:p w:rsidR="00F83FA1" w:rsidRDefault="00F83FA1" w:rsidP="00F83FA1">
            <w:pPr>
              <w:pStyle w:val="TableText"/>
            </w:pPr>
            <w:r w:rsidRPr="00661CD4">
              <w:t>None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2D7BBE" w:rsidRDefault="00F83FA1" w:rsidP="00F83FA1">
            <w:pPr>
              <w:pStyle w:val="TableText"/>
              <w:rPr>
                <w:b/>
              </w:rPr>
            </w:pPr>
            <w:r w:rsidRPr="002D7BBE">
              <w:rPr>
                <w:b/>
              </w:rPr>
              <w:t>Overall risk for adverse events</w:t>
            </w:r>
          </w:p>
          <w:p w:rsidR="00F83FA1" w:rsidRPr="002D7BBE" w:rsidRDefault="00F83FA1" w:rsidP="00F83FA1">
            <w:pPr>
              <w:pStyle w:val="TableText"/>
              <w:rPr>
                <w:b/>
              </w:rPr>
            </w:pPr>
            <w:r w:rsidRPr="002D7BBE">
              <w:rPr>
                <w:b/>
              </w:rPr>
              <w:t>in subgroup based on older age</w:t>
            </w:r>
          </w:p>
        </w:tc>
        <w:tc>
          <w:tcPr>
            <w:tcW w:w="645" w:type="pct"/>
          </w:tcPr>
          <w:p w:rsidR="00F83FA1" w:rsidRPr="002C671D" w:rsidRDefault="00F83FA1" w:rsidP="00F83FA1">
            <w:pPr>
              <w:pStyle w:val="TableText"/>
            </w:pPr>
            <w:r>
              <w:t>16</w:t>
            </w:r>
            <w:r w:rsidRPr="00661CD4">
              <w:t xml:space="preserve"> per 100</w:t>
            </w:r>
          </w:p>
        </w:tc>
        <w:tc>
          <w:tcPr>
            <w:tcW w:w="644" w:type="pct"/>
          </w:tcPr>
          <w:p w:rsidR="00F83FA1" w:rsidRDefault="00F83FA1" w:rsidP="00F83FA1">
            <w:pPr>
              <w:pStyle w:val="TableText"/>
            </w:pPr>
            <w:r>
              <w:t>20</w:t>
            </w:r>
            <w:r w:rsidRPr="002D7BBE">
              <w:t xml:space="preserve"> per 100</w:t>
            </w:r>
          </w:p>
          <w:p w:rsidR="00F83FA1" w:rsidRPr="002C671D" w:rsidRDefault="00F83FA1" w:rsidP="00F83FA1">
            <w:pPr>
              <w:pStyle w:val="TableText"/>
            </w:pPr>
            <w:r>
              <w:t>(10 to 40)</w:t>
            </w:r>
          </w:p>
        </w:tc>
        <w:tc>
          <w:tcPr>
            <w:tcW w:w="530" w:type="pct"/>
          </w:tcPr>
          <w:p w:rsidR="00F83FA1" w:rsidRPr="002C671D" w:rsidRDefault="00F83FA1" w:rsidP="00F83FA1">
            <w:pPr>
              <w:pStyle w:val="TableText"/>
            </w:pPr>
            <w:r w:rsidRPr="00661CD4">
              <w:rPr>
                <w:bCs/>
              </w:rPr>
              <w:t>RR, 1.30 (0.66 to 2.54)</w:t>
            </w:r>
          </w:p>
        </w:tc>
        <w:tc>
          <w:tcPr>
            <w:tcW w:w="646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131</w:t>
            </w:r>
          </w:p>
          <w:p w:rsidR="00F83FA1" w:rsidRPr="009366DC" w:rsidRDefault="00F83FA1" w:rsidP="00F83FA1">
            <w:pPr>
              <w:pStyle w:val="TableText"/>
            </w:pPr>
            <w:r w:rsidRPr="00661CD4">
              <w:t>(</w:t>
            </w:r>
            <w:r w:rsidRPr="00677800">
              <w:t>1 trial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  <w:r w:rsidRPr="00661CD4">
              <w:t>)</w:t>
            </w:r>
          </w:p>
        </w:tc>
        <w:tc>
          <w:tcPr>
            <w:tcW w:w="618" w:type="pct"/>
          </w:tcPr>
          <w:p w:rsidR="00F83FA1" w:rsidRPr="0058304D" w:rsidRDefault="00F83FA1" w:rsidP="00F83FA1">
            <w:pPr>
              <w:pStyle w:val="TableText"/>
            </w:pPr>
            <w:r w:rsidRPr="0058304D">
              <w:rPr>
                <w:color w:val="000000"/>
              </w:rPr>
              <w:t>Low</w:t>
            </w:r>
            <w:r w:rsidRPr="003078F3">
              <w:rPr>
                <w:color w:val="000000"/>
                <w:vertAlign w:val="superscript"/>
              </w:rPr>
              <w:t>e</w:t>
            </w:r>
          </w:p>
        </w:tc>
        <w:tc>
          <w:tcPr>
            <w:tcW w:w="1089" w:type="pct"/>
          </w:tcPr>
          <w:p w:rsidR="00F83FA1" w:rsidRPr="00E44BCF" w:rsidRDefault="00F83FA1" w:rsidP="00F83FA1">
            <w:pPr>
              <w:pStyle w:val="TableText"/>
            </w:pPr>
            <w:r w:rsidRPr="00E44BCF">
              <w:rPr>
                <w:color w:val="000000"/>
              </w:rPr>
              <w:t>Comparison limited to fluoxetine and SJW in older adults (60 to 80 years)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9366DC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Overall discontinuation</w:t>
            </w:r>
            <w:r w:rsidRPr="00661CD4">
              <w:t xml:space="preserve"> </w:t>
            </w:r>
          </w:p>
        </w:tc>
        <w:tc>
          <w:tcPr>
            <w:tcW w:w="645" w:type="pct"/>
          </w:tcPr>
          <w:p w:rsidR="00F83FA1" w:rsidRPr="002C671D" w:rsidRDefault="00F83FA1" w:rsidP="00F83FA1">
            <w:pPr>
              <w:pStyle w:val="TableText"/>
            </w:pPr>
            <w:r w:rsidRPr="008C4026">
              <w:t>1</w:t>
            </w:r>
            <w:r w:rsidRPr="001031F5">
              <w:t>5</w:t>
            </w:r>
            <w:r w:rsidRPr="008C4026">
              <w:t xml:space="preserve"> per 100</w:t>
            </w:r>
          </w:p>
        </w:tc>
        <w:tc>
          <w:tcPr>
            <w:tcW w:w="644" w:type="pct"/>
          </w:tcPr>
          <w:p w:rsidR="00F83FA1" w:rsidRPr="002C671D" w:rsidRDefault="00F83FA1" w:rsidP="00F83FA1">
            <w:pPr>
              <w:pStyle w:val="TableText"/>
            </w:pPr>
            <w:r w:rsidRPr="008C4026">
              <w:t>1</w:t>
            </w:r>
            <w:r w:rsidRPr="001031F5">
              <w:t>9</w:t>
            </w:r>
            <w:r w:rsidRPr="008C4026">
              <w:t xml:space="preserve"> per 100 1</w:t>
            </w:r>
            <w:r w:rsidRPr="00A568F3">
              <w:t>5</w:t>
            </w:r>
            <w:r w:rsidRPr="008C4026">
              <w:t xml:space="preserve"> to 2</w:t>
            </w:r>
            <w:r w:rsidRPr="00A568F3">
              <w:t>4</w:t>
            </w:r>
            <w:r w:rsidRPr="008C4026">
              <w:t xml:space="preserve">) </w:t>
            </w:r>
          </w:p>
        </w:tc>
        <w:tc>
          <w:tcPr>
            <w:tcW w:w="530" w:type="pct"/>
          </w:tcPr>
          <w:p w:rsidR="00F83FA1" w:rsidRPr="002C671D" w:rsidRDefault="00F83FA1" w:rsidP="00F83FA1">
            <w:pPr>
              <w:pStyle w:val="TableText"/>
            </w:pPr>
            <w:r w:rsidRPr="00661CD4">
              <w:rPr>
                <w:bCs/>
              </w:rPr>
              <w:t>RR, 1.2</w:t>
            </w:r>
            <w:r>
              <w:rPr>
                <w:bCs/>
              </w:rPr>
              <w:t>8</w:t>
            </w:r>
            <w:r w:rsidRPr="00661CD4">
              <w:br/>
              <w:t>(1.0</w:t>
            </w:r>
            <w:r>
              <w:t>1</w:t>
            </w:r>
            <w:r w:rsidRPr="00661CD4">
              <w:t xml:space="preserve"> to 1.6</w:t>
            </w:r>
            <w:r>
              <w:t>2</w:t>
            </w:r>
            <w:r w:rsidRPr="00661CD4">
              <w:t>)</w:t>
            </w:r>
          </w:p>
        </w:tc>
        <w:tc>
          <w:tcPr>
            <w:tcW w:w="646" w:type="pct"/>
          </w:tcPr>
          <w:p w:rsidR="00F83FA1" w:rsidRPr="009366DC" w:rsidRDefault="00F83FA1" w:rsidP="00F83FA1">
            <w:pPr>
              <w:pStyle w:val="TableText"/>
            </w:pPr>
            <w:r w:rsidRPr="004723CE">
              <w:t>16</w:t>
            </w:r>
            <w:r>
              <w:t xml:space="preserve">51 </w:t>
            </w:r>
            <w:r w:rsidRPr="00661CD4">
              <w:t>(</w:t>
            </w:r>
            <w:r>
              <w:t>9</w:t>
            </w:r>
            <w:r w:rsidRPr="00661CD4">
              <w:t xml:space="preserve"> trials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30,31,33-36,38,39,42</w:t>
            </w:r>
            <w:r w:rsidRPr="00661CD4">
              <w:t>)</w:t>
            </w:r>
          </w:p>
        </w:tc>
        <w:tc>
          <w:tcPr>
            <w:tcW w:w="618" w:type="pct"/>
          </w:tcPr>
          <w:p w:rsidR="00F83FA1" w:rsidRPr="0058304D" w:rsidRDefault="00F83FA1" w:rsidP="00F83FA1">
            <w:pPr>
              <w:pStyle w:val="TableText"/>
            </w:pPr>
            <w:r w:rsidRPr="0058304D">
              <w:t>Moderate</w:t>
            </w:r>
            <w:r w:rsidRPr="0058304D">
              <w:rPr>
                <w:vertAlign w:val="superscript"/>
              </w:rPr>
              <w:t>c</w:t>
            </w:r>
          </w:p>
        </w:tc>
        <w:tc>
          <w:tcPr>
            <w:tcW w:w="1089" w:type="pct"/>
          </w:tcPr>
          <w:p w:rsidR="00F83FA1" w:rsidRDefault="00F83FA1" w:rsidP="00F83FA1">
            <w:pPr>
              <w:pStyle w:val="TableText"/>
            </w:pPr>
            <w:r w:rsidRPr="00661CD4">
              <w:t>None</w:t>
            </w:r>
            <w:r>
              <w:t xml:space="preserve"> </w:t>
            </w:r>
          </w:p>
        </w:tc>
      </w:tr>
      <w:tr w:rsidR="00F83FA1" w:rsidRPr="009366DC" w:rsidTr="00F83FA1">
        <w:tc>
          <w:tcPr>
            <w:tcW w:w="828" w:type="pct"/>
          </w:tcPr>
          <w:p w:rsidR="00F83FA1" w:rsidRPr="009366DC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Discontinuation because of adverse events</w:t>
            </w:r>
          </w:p>
        </w:tc>
        <w:tc>
          <w:tcPr>
            <w:tcW w:w="645" w:type="pct"/>
          </w:tcPr>
          <w:p w:rsidR="00F83FA1" w:rsidRPr="002C671D" w:rsidRDefault="00F83FA1" w:rsidP="00F83FA1">
            <w:pPr>
              <w:pStyle w:val="TableText"/>
            </w:pPr>
            <w:r w:rsidRPr="00661CD4">
              <w:t>4 per 100</w:t>
            </w:r>
          </w:p>
        </w:tc>
        <w:tc>
          <w:tcPr>
            <w:tcW w:w="644" w:type="pct"/>
          </w:tcPr>
          <w:p w:rsidR="00F83FA1" w:rsidRPr="002C671D" w:rsidRDefault="00F83FA1" w:rsidP="00F83FA1">
            <w:pPr>
              <w:pStyle w:val="TableText"/>
            </w:pPr>
            <w:r w:rsidRPr="00661CD4">
              <w:t>7 per 100 (5 to 1</w:t>
            </w:r>
            <w:r>
              <w:t>1</w:t>
            </w:r>
            <w:r w:rsidRPr="00661CD4">
              <w:t xml:space="preserve">) </w:t>
            </w:r>
          </w:p>
        </w:tc>
        <w:tc>
          <w:tcPr>
            <w:tcW w:w="530" w:type="pct"/>
          </w:tcPr>
          <w:p w:rsidR="00F83FA1" w:rsidRPr="002C671D" w:rsidRDefault="00F83FA1" w:rsidP="00F83FA1">
            <w:pPr>
              <w:pStyle w:val="TableText"/>
            </w:pPr>
            <w:r w:rsidRPr="00661CD4">
              <w:rPr>
                <w:bCs/>
              </w:rPr>
              <w:t>RR, 1.7</w:t>
            </w:r>
            <w:r w:rsidRPr="00661CD4">
              <w:br/>
              <w:t>(1.1</w:t>
            </w:r>
            <w:r>
              <w:t>2</w:t>
            </w:r>
            <w:r w:rsidRPr="00661CD4">
              <w:t xml:space="preserve"> to 2.</w:t>
            </w:r>
            <w:r>
              <w:t>6</w:t>
            </w:r>
            <w:r w:rsidRPr="00661CD4">
              <w:t>)</w:t>
            </w:r>
          </w:p>
        </w:tc>
        <w:tc>
          <w:tcPr>
            <w:tcW w:w="646" w:type="pct"/>
          </w:tcPr>
          <w:p w:rsidR="00F83FA1" w:rsidRPr="009366DC" w:rsidRDefault="00F83FA1" w:rsidP="00F83FA1">
            <w:pPr>
              <w:pStyle w:val="TableText"/>
            </w:pPr>
            <w:r>
              <w:t>1651</w:t>
            </w:r>
            <w:r w:rsidRPr="00661CD4">
              <w:t xml:space="preserve"> (</w:t>
            </w:r>
            <w:r>
              <w:t>9</w:t>
            </w:r>
            <w:r w:rsidRPr="00661CD4">
              <w:t xml:space="preserve"> trials</w:t>
            </w:r>
            <w:r w:rsidRPr="00162433">
              <w:rPr>
                <w:rFonts w:ascii="Times New Roman" w:hAnsi="Times New Roman" w:cs="Times New Roman"/>
                <w:noProof/>
                <w:vertAlign w:val="superscript"/>
              </w:rPr>
              <w:t>30,31,33-36,38,39,42</w:t>
            </w:r>
            <w:r w:rsidRPr="00661CD4">
              <w:t>)</w:t>
            </w:r>
          </w:p>
        </w:tc>
        <w:tc>
          <w:tcPr>
            <w:tcW w:w="618" w:type="pct"/>
          </w:tcPr>
          <w:p w:rsidR="00F83FA1" w:rsidRPr="0058304D" w:rsidRDefault="00F83FA1" w:rsidP="00F83FA1">
            <w:pPr>
              <w:pStyle w:val="TableText"/>
            </w:pPr>
            <w:r w:rsidRPr="0058304D">
              <w:t>Moderate</w:t>
            </w:r>
            <w:r w:rsidRPr="0058304D">
              <w:rPr>
                <w:vertAlign w:val="superscript"/>
              </w:rPr>
              <w:t xml:space="preserve">c </w:t>
            </w:r>
          </w:p>
        </w:tc>
        <w:tc>
          <w:tcPr>
            <w:tcW w:w="1089" w:type="pct"/>
          </w:tcPr>
          <w:p w:rsidR="00F83FA1" w:rsidRDefault="00F83FA1" w:rsidP="00F83FA1">
            <w:pPr>
              <w:pStyle w:val="TableText"/>
            </w:pPr>
            <w:r>
              <w:t>None</w:t>
            </w:r>
          </w:p>
        </w:tc>
      </w:tr>
    </w:tbl>
    <w:p w:rsidR="00F83FA1" w:rsidRDefault="00F83FA1" w:rsidP="00F83FA1"/>
    <w:p w:rsidR="00F83FA1" w:rsidRDefault="00F83FA1" w:rsidP="00F83FA1">
      <w:pPr>
        <w:spacing w:after="200" w:line="276" w:lineRule="auto"/>
      </w:pPr>
      <w:r>
        <w:br w:type="page"/>
      </w:r>
    </w:p>
    <w:p w:rsidR="00F83FA1" w:rsidRPr="00DD7855" w:rsidRDefault="00F83FA1" w:rsidP="00F83FA1">
      <w:pPr>
        <w:pStyle w:val="TableTitlecontinued2"/>
      </w:pPr>
      <w:r>
        <w:lastRenderedPageBreak/>
        <w:t>Table E</w:t>
      </w:r>
      <w:r>
        <w:rPr>
          <w:noProof/>
        </w:rPr>
        <w:t>15</w:t>
      </w:r>
      <w:r w:rsidRPr="003C65AE">
        <w:t xml:space="preserve">. </w:t>
      </w:r>
      <w:r w:rsidRPr="00E36BAC">
        <w:t>Benefits</w:t>
      </w:r>
      <w:r>
        <w:t xml:space="preserve"> and risks </w:t>
      </w:r>
      <w:r w:rsidRPr="003C65AE">
        <w:t>of second-generation</w:t>
      </w:r>
      <w:r>
        <w:t xml:space="preserve"> antidepressants compared with St. John’s wort monotherapy (continued)</w:t>
      </w:r>
    </w:p>
    <w:tbl>
      <w:tblPr>
        <w:tblStyle w:val="AHRQ1"/>
        <w:tblW w:w="5000" w:type="pct"/>
        <w:tblLayout w:type="fixed"/>
        <w:tblLook w:val="04A0"/>
      </w:tblPr>
      <w:tblGrid>
        <w:gridCol w:w="1657"/>
        <w:gridCol w:w="1147"/>
        <w:gridCol w:w="1197"/>
        <w:gridCol w:w="1061"/>
        <w:gridCol w:w="1256"/>
        <w:gridCol w:w="1080"/>
        <w:gridCol w:w="2178"/>
      </w:tblGrid>
      <w:tr w:rsidR="00F83FA1" w:rsidRPr="004127B6" w:rsidTr="00F83FA1">
        <w:trPr>
          <w:cnfStyle w:val="100000000000"/>
          <w:trHeight w:val="651"/>
        </w:trPr>
        <w:tc>
          <w:tcPr>
            <w:tcW w:w="865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>Outcomes</w:t>
            </w:r>
          </w:p>
        </w:tc>
        <w:tc>
          <w:tcPr>
            <w:tcW w:w="599" w:type="pct"/>
            <w:hideMark/>
          </w:tcPr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rFonts w:eastAsiaTheme="minorEastAsia"/>
                <w:color w:val="000000"/>
              </w:rPr>
              <w:t>Anticipated Absolute Effects</w:t>
            </w:r>
            <w:r w:rsidRPr="0033555D">
              <w:rPr>
                <w:rFonts w:eastAsiaTheme="minorEastAsia"/>
                <w:color w:val="000000"/>
                <w:vertAlign w:val="superscript"/>
              </w:rPr>
              <w:t>a</w:t>
            </w:r>
            <w:r w:rsidRPr="0033555D">
              <w:rPr>
                <w:rFonts w:eastAsiaTheme="minorEastAsia"/>
                <w:color w:val="000000"/>
              </w:rPr>
              <w:t>:</w:t>
            </w:r>
          </w:p>
          <w:p w:rsidR="00F83FA1" w:rsidRPr="0033555D" w:rsidRDefault="00F83FA1" w:rsidP="00F83FA1">
            <w:pPr>
              <w:pStyle w:val="TableText"/>
              <w:rPr>
                <w:i/>
                <w:iCs/>
              </w:rPr>
            </w:pPr>
            <w:r w:rsidRPr="0033555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>and risk w</w:t>
            </w:r>
            <w:r w:rsidRPr="0033555D">
              <w:rPr>
                <w:rFonts w:eastAsiaTheme="minorEastAsia"/>
                <w:i/>
                <w:iCs/>
                <w:color w:val="000000"/>
              </w:rPr>
              <w:t>ith St. John’s Wort</w:t>
            </w:r>
          </w:p>
        </w:tc>
        <w:tc>
          <w:tcPr>
            <w:tcW w:w="625" w:type="pct"/>
          </w:tcPr>
          <w:p w:rsidR="00F83FA1" w:rsidRPr="0033555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33555D">
              <w:rPr>
                <w:rFonts w:eastAsiaTheme="minorEastAsia"/>
                <w:color w:val="000000"/>
              </w:rPr>
              <w:t>Anticipated Absolute Effects</w:t>
            </w:r>
            <w:r w:rsidRPr="0033555D">
              <w:rPr>
                <w:rFonts w:eastAsiaTheme="minorEastAsia"/>
                <w:color w:val="000000"/>
                <w:vertAlign w:val="superscript"/>
              </w:rPr>
              <w:t>a</w:t>
            </w:r>
            <w:r w:rsidRPr="0033555D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33555D" w:rsidRDefault="00F83FA1" w:rsidP="00F83FA1">
            <w:pPr>
              <w:pStyle w:val="TableText"/>
              <w:rPr>
                <w:i/>
                <w:iCs/>
              </w:rPr>
            </w:pPr>
            <w:r w:rsidRPr="0033555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33555D">
              <w:rPr>
                <w:rFonts w:eastAsiaTheme="minorEastAsia"/>
                <w:i/>
                <w:iCs/>
                <w:color w:val="000000"/>
              </w:rPr>
              <w:t>with SGA</w:t>
            </w:r>
          </w:p>
        </w:tc>
        <w:tc>
          <w:tcPr>
            <w:tcW w:w="554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>Relative Effect</w:t>
            </w:r>
            <w:r w:rsidRPr="0033555D">
              <w:br/>
              <w:t xml:space="preserve">(95% CI) </w:t>
            </w:r>
          </w:p>
        </w:tc>
        <w:tc>
          <w:tcPr>
            <w:tcW w:w="656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 xml:space="preserve">Number of Participants </w:t>
            </w:r>
            <w:r w:rsidRPr="0033555D">
              <w:br/>
            </w:r>
            <w:r w:rsidRPr="00CE137C">
              <w:t>(Trials)</w:t>
            </w:r>
            <w:r w:rsidRPr="0033555D">
              <w:t xml:space="preserve"> </w:t>
            </w:r>
          </w:p>
        </w:tc>
        <w:tc>
          <w:tcPr>
            <w:tcW w:w="564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 xml:space="preserve">Strength of Evidence </w:t>
            </w:r>
          </w:p>
        </w:tc>
        <w:tc>
          <w:tcPr>
            <w:tcW w:w="1137" w:type="pct"/>
            <w:hideMark/>
          </w:tcPr>
          <w:p w:rsidR="00F83FA1" w:rsidRPr="0033555D" w:rsidRDefault="00F83FA1" w:rsidP="00F83FA1">
            <w:pPr>
              <w:pStyle w:val="TableText"/>
            </w:pPr>
            <w:r w:rsidRPr="0033555D">
              <w:t>Comments</w:t>
            </w:r>
          </w:p>
        </w:tc>
      </w:tr>
      <w:tr w:rsidR="00F83FA1" w:rsidRPr="009366DC" w:rsidTr="00F83FA1">
        <w:tc>
          <w:tcPr>
            <w:tcW w:w="865" w:type="pct"/>
          </w:tcPr>
          <w:p w:rsidR="00F83FA1" w:rsidRPr="009366DC" w:rsidRDefault="00F83FA1" w:rsidP="00F83FA1">
            <w:pPr>
              <w:pStyle w:val="TableText"/>
              <w:rPr>
                <w:b/>
              </w:rPr>
            </w:pPr>
            <w:r w:rsidRPr="00D67952">
              <w:rPr>
                <w:b/>
              </w:rPr>
              <w:t>Discontinuation because of adverse events in subgroup based on older age</w:t>
            </w:r>
          </w:p>
        </w:tc>
        <w:tc>
          <w:tcPr>
            <w:tcW w:w="599" w:type="pct"/>
          </w:tcPr>
          <w:p w:rsidR="00F83FA1" w:rsidRPr="002C671D" w:rsidRDefault="00F83FA1" w:rsidP="00F83FA1">
            <w:pPr>
              <w:pStyle w:val="TableText"/>
            </w:pPr>
            <w:r w:rsidRPr="00661CD4">
              <w:rPr>
                <w:color w:val="000000"/>
              </w:rPr>
              <w:t>65 per 100</w:t>
            </w:r>
          </w:p>
        </w:tc>
        <w:tc>
          <w:tcPr>
            <w:tcW w:w="625" w:type="pct"/>
          </w:tcPr>
          <w:p w:rsidR="00F83FA1" w:rsidRPr="00661CD4" w:rsidRDefault="00F83FA1" w:rsidP="00F83FA1">
            <w:pPr>
              <w:pStyle w:val="TableText"/>
              <w:rPr>
                <w:bCs/>
                <w:color w:val="000000"/>
              </w:rPr>
            </w:pPr>
            <w:r w:rsidRPr="00661CD4">
              <w:rPr>
                <w:bCs/>
                <w:color w:val="000000"/>
              </w:rPr>
              <w:t>79 per 100</w:t>
            </w:r>
          </w:p>
          <w:p w:rsidR="00F83FA1" w:rsidRPr="002C671D" w:rsidRDefault="00F83FA1" w:rsidP="00F83FA1">
            <w:pPr>
              <w:pStyle w:val="TableText"/>
            </w:pPr>
            <w:r w:rsidRPr="00661CD4">
              <w:rPr>
                <w:bCs/>
                <w:color w:val="000000"/>
              </w:rPr>
              <w:t>(29 to 218)</w:t>
            </w:r>
          </w:p>
        </w:tc>
        <w:tc>
          <w:tcPr>
            <w:tcW w:w="554" w:type="pct"/>
          </w:tcPr>
          <w:p w:rsidR="00F83FA1" w:rsidRPr="002C671D" w:rsidRDefault="00F83FA1" w:rsidP="00F83FA1">
            <w:pPr>
              <w:pStyle w:val="TableText"/>
            </w:pPr>
            <w:r w:rsidRPr="00661CD4">
              <w:rPr>
                <w:color w:val="000000"/>
              </w:rPr>
              <w:t>RR, 1.22 (0.44 to 3.36)</w:t>
            </w:r>
          </w:p>
        </w:tc>
        <w:tc>
          <w:tcPr>
            <w:tcW w:w="656" w:type="pct"/>
          </w:tcPr>
          <w:p w:rsidR="00F83FA1" w:rsidRPr="00661CD4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661CD4">
              <w:rPr>
                <w:rFonts w:ascii="Arial" w:hAnsi="Arial" w:cs="Arial"/>
                <w:color w:val="000000"/>
                <w:szCs w:val="18"/>
              </w:rPr>
              <w:t xml:space="preserve">161 </w:t>
            </w:r>
          </w:p>
          <w:p w:rsidR="00F83FA1" w:rsidRPr="009366DC" w:rsidRDefault="00F83FA1" w:rsidP="00F83FA1">
            <w:pPr>
              <w:pStyle w:val="TableText"/>
            </w:pPr>
            <w:r w:rsidRPr="00661CD4">
              <w:rPr>
                <w:color w:val="000000"/>
              </w:rPr>
              <w:t>(</w:t>
            </w:r>
            <w:r w:rsidRPr="00677800">
              <w:rPr>
                <w:color w:val="000000"/>
              </w:rPr>
              <w:t>1 trial</w:t>
            </w:r>
            <w:r w:rsidRPr="00E73EAE"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29</w:t>
            </w:r>
            <w:r w:rsidRPr="00661CD4">
              <w:rPr>
                <w:color w:val="000000"/>
              </w:rPr>
              <w:t>)</w:t>
            </w:r>
          </w:p>
        </w:tc>
        <w:tc>
          <w:tcPr>
            <w:tcW w:w="564" w:type="pct"/>
          </w:tcPr>
          <w:p w:rsidR="00F83FA1" w:rsidRPr="009366DC" w:rsidRDefault="00F83FA1" w:rsidP="00F83FA1">
            <w:pPr>
              <w:pStyle w:val="TableText"/>
            </w:pPr>
            <w:r w:rsidRPr="0058304D">
              <w:rPr>
                <w:color w:val="000000"/>
              </w:rPr>
              <w:t>Low</w:t>
            </w:r>
            <w:r w:rsidRPr="003078F3">
              <w:rPr>
                <w:color w:val="000000"/>
                <w:vertAlign w:val="superscript"/>
              </w:rPr>
              <w:t>e</w:t>
            </w:r>
          </w:p>
        </w:tc>
        <w:tc>
          <w:tcPr>
            <w:tcW w:w="1137" w:type="pct"/>
          </w:tcPr>
          <w:p w:rsidR="00F83FA1" w:rsidRPr="00E44BCF" w:rsidRDefault="00F83FA1" w:rsidP="00F83FA1">
            <w:pPr>
              <w:pStyle w:val="TableText"/>
            </w:pPr>
            <w:r w:rsidRPr="00E44BCF">
              <w:rPr>
                <w:color w:val="000000"/>
              </w:rPr>
              <w:t>Comparison limited to fluoxetine and SJW in older adults (60 to 80 years)</w:t>
            </w:r>
          </w:p>
        </w:tc>
      </w:tr>
    </w:tbl>
    <w:p w:rsidR="00F83FA1" w:rsidRPr="009366DC" w:rsidRDefault="00F83FA1" w:rsidP="00F83FA1">
      <w:pPr>
        <w:pStyle w:val="TableNote"/>
      </w:pPr>
      <w:r w:rsidRPr="009366DC">
        <w:rPr>
          <w:vertAlign w:val="superscript"/>
        </w:rPr>
        <w:t xml:space="preserve">a </w:t>
      </w:r>
      <w:r w:rsidRPr="009366DC">
        <w:t xml:space="preserve">The risk in the intervention group (and its 95% CI) is based on the assumed risk in the comparison group and the relative effect of the intervention (and its 95% CI). 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</w:rPr>
      </w:pPr>
      <w:r w:rsidRPr="009366DC">
        <w:rPr>
          <w:vertAlign w:val="superscript"/>
        </w:rPr>
        <w:t>b</w:t>
      </w:r>
      <w:r>
        <w:rPr>
          <w:vertAlign w:val="superscript"/>
        </w:rPr>
        <w:t xml:space="preserve"> </w:t>
      </w:r>
      <w:r w:rsidRPr="009366DC">
        <w:rPr>
          <w:rFonts w:asciiTheme="majorBidi" w:hAnsiTheme="majorBidi" w:cstheme="majorBidi"/>
          <w:color w:val="000000"/>
        </w:rPr>
        <w:t>Downgraded for inconsistency: moderate heterogeneity (I</w:t>
      </w:r>
      <w:r>
        <w:rPr>
          <w:rFonts w:asciiTheme="majorBidi" w:hAnsiTheme="majorBidi" w:cstheme="majorBidi"/>
          <w:color w:val="000000"/>
          <w:vertAlign w:val="superscript"/>
        </w:rPr>
        <w:t>2</w:t>
      </w:r>
      <w:r>
        <w:rPr>
          <w:rFonts w:asciiTheme="majorBidi" w:hAnsiTheme="majorBidi" w:cstheme="majorBidi"/>
          <w:color w:val="000000"/>
        </w:rPr>
        <w:t>=47%</w:t>
      </w:r>
      <w:r w:rsidRPr="009366DC">
        <w:rPr>
          <w:rFonts w:asciiTheme="majorBidi" w:hAnsiTheme="majorBidi" w:cstheme="majorBidi"/>
          <w:color w:val="000000"/>
        </w:rPr>
        <w:t>)</w:t>
      </w:r>
      <w:r>
        <w:rPr>
          <w:rFonts w:asciiTheme="majorBidi" w:hAnsiTheme="majorBidi" w:cstheme="majorBidi"/>
          <w:color w:val="000000"/>
        </w:rPr>
        <w:t>.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  <w:vertAlign w:val="superscript"/>
        </w:rPr>
      </w:pPr>
      <w:r>
        <w:rPr>
          <w:rFonts w:asciiTheme="majorBidi" w:hAnsiTheme="majorBidi" w:cstheme="majorBidi"/>
          <w:color w:val="000000"/>
          <w:vertAlign w:val="superscript"/>
        </w:rPr>
        <w:t>c</w:t>
      </w:r>
      <w:r>
        <w:rPr>
          <w:rFonts w:asciiTheme="majorBidi" w:hAnsiTheme="majorBidi" w:cstheme="majorBidi"/>
          <w:color w:val="000000"/>
        </w:rPr>
        <w:t xml:space="preserve"> Downgraded for indirectness: most studies compared to low or moderate dose SGA.</w:t>
      </w:r>
      <w:r>
        <w:rPr>
          <w:rFonts w:asciiTheme="majorBidi" w:hAnsiTheme="majorBidi" w:cstheme="majorBidi"/>
          <w:color w:val="000000"/>
          <w:vertAlign w:val="superscript"/>
        </w:rPr>
        <w:t xml:space="preserve"> 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  <w:vertAlign w:val="superscript"/>
        </w:rPr>
        <w:t xml:space="preserve">d </w:t>
      </w:r>
      <w:r>
        <w:rPr>
          <w:rFonts w:asciiTheme="majorBidi" w:hAnsiTheme="majorBidi" w:cstheme="majorBidi"/>
          <w:color w:val="000000"/>
        </w:rPr>
        <w:t>Downgraded for  imprecision: few events.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  <w:vertAlign w:val="superscript"/>
        </w:rPr>
        <w:t xml:space="preserve">e </w:t>
      </w:r>
      <w:r w:rsidRPr="00921802">
        <w:rPr>
          <w:rFonts w:asciiTheme="majorBidi" w:hAnsiTheme="majorBidi" w:cstheme="majorBidi"/>
          <w:color w:val="000000"/>
        </w:rPr>
        <w:t>Downgraded</w:t>
      </w:r>
      <w:r>
        <w:rPr>
          <w:rFonts w:asciiTheme="majorBidi" w:hAnsiTheme="majorBidi" w:cstheme="majorBidi"/>
          <w:color w:val="000000"/>
        </w:rPr>
        <w:t xml:space="preserve"> 2 steps for serious imprecision: few</w:t>
      </w:r>
      <w:r w:rsidRPr="00BA36F1">
        <w:rPr>
          <w:rFonts w:asciiTheme="majorBidi" w:hAnsiTheme="majorBidi" w:cstheme="majorBidi"/>
          <w:color w:val="000000"/>
        </w:rPr>
        <w:t xml:space="preserve"> events overall</w:t>
      </w:r>
      <w:r>
        <w:rPr>
          <w:rFonts w:asciiTheme="majorBidi" w:hAnsiTheme="majorBidi" w:cstheme="majorBidi"/>
          <w:color w:val="000000"/>
        </w:rPr>
        <w:t xml:space="preserve"> and confidence interval crosses threshold of appreciable difference.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  <w:vertAlign w:val="superscript"/>
        </w:rPr>
        <w:t>f</w:t>
      </w:r>
      <w:r w:rsidRPr="00A568F3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Downgraded for risk of bias: </w:t>
      </w:r>
      <w:r w:rsidRPr="00A568F3">
        <w:rPr>
          <w:rFonts w:asciiTheme="majorBidi" w:hAnsiTheme="majorBidi" w:cstheme="majorBidi"/>
          <w:color w:val="000000"/>
        </w:rPr>
        <w:t>Conflicting</w:t>
      </w:r>
      <w:r>
        <w:rPr>
          <w:rFonts w:asciiTheme="majorBidi" w:hAnsiTheme="majorBidi" w:cstheme="majorBidi"/>
          <w:color w:val="000000"/>
        </w:rPr>
        <w:t xml:space="preserve"> definitions</w:t>
      </w:r>
      <w:r w:rsidRPr="00A568F3">
        <w:rPr>
          <w:rFonts w:asciiTheme="majorBidi" w:hAnsiTheme="majorBidi" w:cstheme="majorBidi"/>
          <w:color w:val="000000"/>
        </w:rPr>
        <w:t xml:space="preserve"> of suicidal ideas or behaviors </w:t>
      </w:r>
      <w:r>
        <w:rPr>
          <w:rFonts w:asciiTheme="majorBidi" w:hAnsiTheme="majorBidi" w:cstheme="majorBidi"/>
          <w:color w:val="000000"/>
        </w:rPr>
        <w:t>and suspected outcomes reporting bias</w:t>
      </w:r>
      <w:r w:rsidRPr="00A568F3">
        <w:rPr>
          <w:rFonts w:asciiTheme="majorBidi" w:hAnsiTheme="majorBidi" w:cstheme="majorBidi"/>
          <w:color w:val="000000"/>
        </w:rPr>
        <w:t>.</w:t>
      </w:r>
    </w:p>
    <w:p w:rsidR="00F83FA1" w:rsidRDefault="00F83FA1" w:rsidP="00F83FA1">
      <w:pPr>
        <w:pStyle w:val="TableNote"/>
      </w:pPr>
      <w:r w:rsidRPr="00210E1A">
        <w:t xml:space="preserve">CI = confidence interval; </w:t>
      </w:r>
      <w:r w:rsidRPr="00950017">
        <w:rPr>
          <w:szCs w:val="14"/>
        </w:rPr>
        <w:t>HAM-D = Hamilton Depression Rating Scale</w:t>
      </w:r>
      <w:r w:rsidRPr="004F745F">
        <w:t>; N = number of participants; NWMA = network meta-analyses; OIS = optimal information size;</w:t>
      </w:r>
      <w:r w:rsidRPr="004F745F">
        <w:rPr>
          <w:rFonts w:asciiTheme="majorBidi" w:hAnsiTheme="majorBidi" w:cstheme="majorBidi"/>
          <w:color w:val="000000"/>
        </w:rPr>
        <w:t xml:space="preserve"> </w:t>
      </w:r>
      <w:r w:rsidRPr="00B27C22">
        <w:rPr>
          <w:rFonts w:asciiTheme="majorBidi" w:hAnsiTheme="majorBidi" w:cstheme="majorBidi"/>
          <w:color w:val="000000"/>
        </w:rPr>
        <w:t xml:space="preserve">RR: Risk ratio; </w:t>
      </w:r>
      <w:r w:rsidRPr="00210E1A">
        <w:t>SGA = second-generation antidepressant</w:t>
      </w:r>
      <w:r>
        <w:t>; SJW = St. John’s wort; SSRI = selective serotonin reuptake inhibitor</w:t>
      </w:r>
    </w:p>
    <w:sectPr w:rsidR="00F83FA1" w:rsidSect="005C452A">
      <w:footerReference w:type="default" r:id="rId8"/>
      <w:pgSz w:w="12240" w:h="15840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0ECD8F" w15:done="0"/>
  <w15:commentEx w15:paraId="7E5A4873" w15:done="0"/>
  <w15:commentEx w15:paraId="529C14F7" w15:done="0"/>
  <w15:commentEx w15:paraId="6781EA4D" w15:done="0"/>
  <w15:commentEx w15:paraId="7E068175" w15:done="0"/>
  <w15:commentEx w15:paraId="5AA15E83" w15:done="0"/>
  <w15:commentEx w15:paraId="6139CF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8A" w:rsidRDefault="00103D8A">
      <w:r>
        <w:separator/>
      </w:r>
    </w:p>
  </w:endnote>
  <w:endnote w:type="continuationSeparator" w:id="1">
    <w:p w:rsidR="00103D8A" w:rsidRDefault="00103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RADE-quali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A3" w:rsidRDefault="00BF106C" w:rsidP="00F83FA1">
    <w:pPr>
      <w:pStyle w:val="PageNumber"/>
    </w:pPr>
    <w:r>
      <w:t>E</w:t>
    </w:r>
    <w:r w:rsidR="004446A3">
      <w:t>-</w:t>
    </w:r>
    <w:r w:rsidR="00A33A98">
      <w:fldChar w:fldCharType="begin"/>
    </w:r>
    <w:r w:rsidR="004446A3">
      <w:instrText xml:space="preserve"> PAGE   \* MERGEFORMAT </w:instrText>
    </w:r>
    <w:r w:rsidR="00A33A98">
      <w:fldChar w:fldCharType="separate"/>
    </w:r>
    <w:r w:rsidR="005C452A">
      <w:rPr>
        <w:noProof/>
      </w:rPr>
      <w:t>26</w:t>
    </w:r>
    <w:r w:rsidR="00A33A98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8A" w:rsidRDefault="00103D8A">
      <w:r>
        <w:separator/>
      </w:r>
    </w:p>
  </w:footnote>
  <w:footnote w:type="continuationSeparator" w:id="1">
    <w:p w:rsidR="00103D8A" w:rsidRDefault="00103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467BE"/>
    <w:multiLevelType w:val="multilevel"/>
    <w:tmpl w:val="406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C5E73"/>
    <w:multiLevelType w:val="hybridMultilevel"/>
    <w:tmpl w:val="5D10C0E8"/>
    <w:lvl w:ilvl="0" w:tplc="0C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BA6081F"/>
    <w:multiLevelType w:val="hybridMultilevel"/>
    <w:tmpl w:val="3C1685E6"/>
    <w:lvl w:ilvl="0" w:tplc="564E82EA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E8C"/>
    <w:multiLevelType w:val="hybridMultilevel"/>
    <w:tmpl w:val="E918C4FE"/>
    <w:lvl w:ilvl="0" w:tplc="3FC0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D77"/>
    <w:multiLevelType w:val="hybridMultilevel"/>
    <w:tmpl w:val="1A00E47C"/>
    <w:lvl w:ilvl="0" w:tplc="BB425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58AE"/>
    <w:multiLevelType w:val="hybridMultilevel"/>
    <w:tmpl w:val="9F3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CB"/>
    <w:multiLevelType w:val="hybridMultilevel"/>
    <w:tmpl w:val="C4AC85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91B18"/>
    <w:multiLevelType w:val="hybridMultilevel"/>
    <w:tmpl w:val="FA764A46"/>
    <w:lvl w:ilvl="0" w:tplc="092E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19922584"/>
    <w:multiLevelType w:val="hybridMultilevel"/>
    <w:tmpl w:val="FB74578E"/>
    <w:lvl w:ilvl="0" w:tplc="3A147036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BA140C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73381"/>
    <w:multiLevelType w:val="hybridMultilevel"/>
    <w:tmpl w:val="F11442A4"/>
    <w:lvl w:ilvl="0" w:tplc="66646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14093"/>
    <w:multiLevelType w:val="hybridMultilevel"/>
    <w:tmpl w:val="231C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23643"/>
    <w:multiLevelType w:val="hybridMultilevel"/>
    <w:tmpl w:val="CEB22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0741D61"/>
    <w:multiLevelType w:val="hybridMultilevel"/>
    <w:tmpl w:val="60B2FDCC"/>
    <w:lvl w:ilvl="0" w:tplc="40D46BF2">
      <w:start w:val="1"/>
      <w:numFmt w:val="bullet"/>
      <w:pStyle w:val="text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9852CC"/>
    <w:multiLevelType w:val="hybridMultilevel"/>
    <w:tmpl w:val="A7BC4F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E71B6">
      <w:start w:val="19"/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FA3782"/>
    <w:multiLevelType w:val="multilevel"/>
    <w:tmpl w:val="5A8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154AC1"/>
    <w:multiLevelType w:val="hybridMultilevel"/>
    <w:tmpl w:val="341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82AE0"/>
    <w:multiLevelType w:val="hybridMultilevel"/>
    <w:tmpl w:val="40D2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33D80"/>
    <w:multiLevelType w:val="multilevel"/>
    <w:tmpl w:val="3A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F4A67"/>
    <w:multiLevelType w:val="hybridMultilevel"/>
    <w:tmpl w:val="2A4E72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67270C"/>
    <w:multiLevelType w:val="hybridMultilevel"/>
    <w:tmpl w:val="11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E13D0"/>
    <w:multiLevelType w:val="hybridMultilevel"/>
    <w:tmpl w:val="F7D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F1DCD"/>
    <w:multiLevelType w:val="hybridMultilevel"/>
    <w:tmpl w:val="0A06F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54C71"/>
    <w:multiLevelType w:val="multilevel"/>
    <w:tmpl w:val="A45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8219C"/>
    <w:multiLevelType w:val="hybridMultilevel"/>
    <w:tmpl w:val="FEB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615F5"/>
    <w:multiLevelType w:val="hybridMultilevel"/>
    <w:tmpl w:val="6F46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10119D"/>
    <w:multiLevelType w:val="hybridMultilevel"/>
    <w:tmpl w:val="D5F23E16"/>
    <w:lvl w:ilvl="0" w:tplc="A950F926">
      <w:start w:val="1"/>
      <w:numFmt w:val="bullet"/>
      <w:pStyle w:val="text-sub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6716E5F"/>
    <w:multiLevelType w:val="multilevel"/>
    <w:tmpl w:val="EEA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81253"/>
    <w:multiLevelType w:val="hybridMultilevel"/>
    <w:tmpl w:val="1F16DA7A"/>
    <w:lvl w:ilvl="0" w:tplc="1FFE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04866"/>
    <w:multiLevelType w:val="hybridMultilevel"/>
    <w:tmpl w:val="B5F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195389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32C02"/>
    <w:multiLevelType w:val="hybridMultilevel"/>
    <w:tmpl w:val="0E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D43988"/>
    <w:multiLevelType w:val="hybridMultilevel"/>
    <w:tmpl w:val="AB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2361FD"/>
    <w:multiLevelType w:val="hybridMultilevel"/>
    <w:tmpl w:val="21785FC6"/>
    <w:lvl w:ilvl="0" w:tplc="91FC1B90">
      <w:start w:val="1"/>
      <w:numFmt w:val="bullet"/>
      <w:pStyle w:val="Tablebullet2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F1F70"/>
    <w:multiLevelType w:val="hybridMultilevel"/>
    <w:tmpl w:val="9D542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7251D73"/>
    <w:multiLevelType w:val="hybridMultilevel"/>
    <w:tmpl w:val="6A525C96"/>
    <w:lvl w:ilvl="0" w:tplc="833E487E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6177E2"/>
    <w:multiLevelType w:val="hybridMultilevel"/>
    <w:tmpl w:val="BEC4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9"/>
  </w:num>
  <w:num w:numId="3">
    <w:abstractNumId w:val="44"/>
  </w:num>
  <w:num w:numId="4">
    <w:abstractNumId w:val="20"/>
  </w:num>
  <w:num w:numId="5">
    <w:abstractNumId w:val="38"/>
  </w:num>
  <w:num w:numId="6">
    <w:abstractNumId w:val="42"/>
  </w:num>
  <w:num w:numId="7">
    <w:abstractNumId w:val="65"/>
  </w:num>
  <w:num w:numId="8">
    <w:abstractNumId w:val="33"/>
  </w:num>
  <w:num w:numId="9">
    <w:abstractNumId w:val="61"/>
  </w:num>
  <w:num w:numId="10">
    <w:abstractNumId w:val="66"/>
  </w:num>
  <w:num w:numId="11">
    <w:abstractNumId w:val="22"/>
  </w:num>
  <w:num w:numId="12">
    <w:abstractNumId w:val="3"/>
  </w:num>
  <w:num w:numId="13">
    <w:abstractNumId w:val="48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46"/>
  </w:num>
  <w:num w:numId="19">
    <w:abstractNumId w:val="19"/>
  </w:num>
  <w:num w:numId="20">
    <w:abstractNumId w:val="47"/>
  </w:num>
  <w:num w:numId="21">
    <w:abstractNumId w:val="25"/>
  </w:num>
  <w:num w:numId="22">
    <w:abstractNumId w:val="0"/>
  </w:num>
  <w:num w:numId="23">
    <w:abstractNumId w:val="17"/>
  </w:num>
  <w:num w:numId="24">
    <w:abstractNumId w:val="68"/>
  </w:num>
  <w:num w:numId="25">
    <w:abstractNumId w:val="14"/>
  </w:num>
  <w:num w:numId="26">
    <w:abstractNumId w:val="58"/>
  </w:num>
  <w:num w:numId="27">
    <w:abstractNumId w:val="69"/>
  </w:num>
  <w:num w:numId="28">
    <w:abstractNumId w:val="23"/>
  </w:num>
  <w:num w:numId="29">
    <w:abstractNumId w:val="54"/>
  </w:num>
  <w:num w:numId="30">
    <w:abstractNumId w:val="1"/>
  </w:num>
  <w:num w:numId="31">
    <w:abstractNumId w:val="62"/>
  </w:num>
  <w:num w:numId="32">
    <w:abstractNumId w:val="53"/>
  </w:num>
  <w:num w:numId="33">
    <w:abstractNumId w:val="2"/>
  </w:num>
  <w:num w:numId="34">
    <w:abstractNumId w:val="55"/>
  </w:num>
  <w:num w:numId="35">
    <w:abstractNumId w:val="7"/>
  </w:num>
  <w:num w:numId="36">
    <w:abstractNumId w:val="51"/>
  </w:num>
  <w:num w:numId="37">
    <w:abstractNumId w:val="49"/>
  </w:num>
  <w:num w:numId="38">
    <w:abstractNumId w:val="60"/>
  </w:num>
  <w:num w:numId="39">
    <w:abstractNumId w:val="10"/>
  </w:num>
  <w:num w:numId="40">
    <w:abstractNumId w:val="21"/>
  </w:num>
  <w:num w:numId="41">
    <w:abstractNumId w:val="13"/>
  </w:num>
  <w:num w:numId="42">
    <w:abstractNumId w:val="8"/>
  </w:num>
  <w:num w:numId="43">
    <w:abstractNumId w:val="40"/>
  </w:num>
  <w:num w:numId="44">
    <w:abstractNumId w:val="44"/>
  </w:num>
  <w:num w:numId="45">
    <w:abstractNumId w:val="44"/>
  </w:num>
  <w:num w:numId="46">
    <w:abstractNumId w:val="38"/>
  </w:num>
  <w:num w:numId="47">
    <w:abstractNumId w:val="20"/>
  </w:num>
  <w:num w:numId="48">
    <w:abstractNumId w:val="52"/>
  </w:num>
  <w:num w:numId="49">
    <w:abstractNumId w:val="57"/>
  </w:num>
  <w:num w:numId="50">
    <w:abstractNumId w:val="11"/>
  </w:num>
  <w:num w:numId="51">
    <w:abstractNumId w:val="35"/>
  </w:num>
  <w:num w:numId="52">
    <w:abstractNumId w:val="41"/>
  </w:num>
  <w:num w:numId="53">
    <w:abstractNumId w:val="15"/>
  </w:num>
  <w:num w:numId="54">
    <w:abstractNumId w:val="28"/>
  </w:num>
  <w:num w:numId="55">
    <w:abstractNumId w:val="37"/>
  </w:num>
  <w:num w:numId="56">
    <w:abstractNumId w:val="5"/>
  </w:num>
  <w:num w:numId="57">
    <w:abstractNumId w:val="31"/>
  </w:num>
  <w:num w:numId="58">
    <w:abstractNumId w:val="27"/>
  </w:num>
  <w:num w:numId="59">
    <w:abstractNumId w:val="12"/>
  </w:num>
  <w:num w:numId="60">
    <w:abstractNumId w:val="29"/>
  </w:num>
  <w:num w:numId="61">
    <w:abstractNumId w:val="67"/>
  </w:num>
  <w:num w:numId="62">
    <w:abstractNumId w:val="56"/>
  </w:num>
  <w:num w:numId="63">
    <w:abstractNumId w:val="16"/>
  </w:num>
  <w:num w:numId="64">
    <w:abstractNumId w:val="64"/>
  </w:num>
  <w:num w:numId="65">
    <w:abstractNumId w:val="45"/>
  </w:num>
  <w:num w:numId="66">
    <w:abstractNumId w:val="59"/>
  </w:num>
  <w:num w:numId="67">
    <w:abstractNumId w:val="34"/>
  </w:num>
  <w:num w:numId="68">
    <w:abstractNumId w:val="26"/>
  </w:num>
  <w:num w:numId="69">
    <w:abstractNumId w:val="39"/>
  </w:num>
  <w:num w:numId="70">
    <w:abstractNumId w:val="4"/>
  </w:num>
  <w:num w:numId="71">
    <w:abstractNumId w:val="36"/>
  </w:num>
  <w:num w:numId="72">
    <w:abstractNumId w:val="50"/>
  </w:num>
  <w:num w:numId="73">
    <w:abstractNumId w:val="43"/>
  </w:num>
  <w:num w:numId="74">
    <w:abstractNumId w:val="3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8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fefv57222xie0tzkvefa5ev9p2f9szar2&quot;&gt;MDD SR Database Complete+Update-to UNC 6-19-15&lt;record-ids&gt;&lt;item&gt;114&lt;/item&gt;&lt;item&gt;485&lt;/item&gt;&lt;item&gt;6776&lt;/item&gt;&lt;item&gt;6781&lt;/item&gt;&lt;item&gt;6783&lt;/item&gt;&lt;item&gt;6784&lt;/item&gt;&lt;item&gt;6789&lt;/item&gt;&lt;item&gt;6790&lt;/item&gt;&lt;item&gt;6791&lt;/item&gt;&lt;item&gt;6792&lt;/item&gt;&lt;item&gt;6793&lt;/item&gt;&lt;item&gt;6796&lt;/item&gt;&lt;item&gt;6806&lt;/item&gt;&lt;item&gt;6808&lt;/item&gt;&lt;item&gt;6809&lt;/item&gt;&lt;item&gt;6854&lt;/item&gt;&lt;item&gt;6855&lt;/item&gt;&lt;item&gt;6859&lt;/item&gt;&lt;item&gt;6886&lt;/item&gt;&lt;item&gt;6887&lt;/item&gt;&lt;item&gt;6898&lt;/item&gt;&lt;item&gt;6899&lt;/item&gt;&lt;item&gt;6900&lt;/item&gt;&lt;item&gt;6901&lt;/item&gt;&lt;/record-ids&gt;&lt;/item&gt;&lt;/Libraries&gt;"/>
  </w:docVars>
  <w:rsids>
    <w:rsidRoot w:val="00E34475"/>
    <w:rsid w:val="00003CDD"/>
    <w:rsid w:val="00007CEB"/>
    <w:rsid w:val="00011CC8"/>
    <w:rsid w:val="000309EB"/>
    <w:rsid w:val="000327F8"/>
    <w:rsid w:val="0003361D"/>
    <w:rsid w:val="000416F1"/>
    <w:rsid w:val="00044DC0"/>
    <w:rsid w:val="00045996"/>
    <w:rsid w:val="00046363"/>
    <w:rsid w:val="00056379"/>
    <w:rsid w:val="0006017D"/>
    <w:rsid w:val="000642EA"/>
    <w:rsid w:val="00065A6F"/>
    <w:rsid w:val="00074D09"/>
    <w:rsid w:val="00075F59"/>
    <w:rsid w:val="00080D51"/>
    <w:rsid w:val="00081848"/>
    <w:rsid w:val="00082D90"/>
    <w:rsid w:val="000844D9"/>
    <w:rsid w:val="000850F6"/>
    <w:rsid w:val="0009453F"/>
    <w:rsid w:val="00096941"/>
    <w:rsid w:val="000A6811"/>
    <w:rsid w:val="000B09CC"/>
    <w:rsid w:val="000C0505"/>
    <w:rsid w:val="000C2035"/>
    <w:rsid w:val="000C214C"/>
    <w:rsid w:val="000C6E00"/>
    <w:rsid w:val="000C6E15"/>
    <w:rsid w:val="000D54CA"/>
    <w:rsid w:val="000E43EA"/>
    <w:rsid w:val="000F4CED"/>
    <w:rsid w:val="00100F70"/>
    <w:rsid w:val="00103D8A"/>
    <w:rsid w:val="00105EEA"/>
    <w:rsid w:val="00110B3B"/>
    <w:rsid w:val="00120920"/>
    <w:rsid w:val="00125EC2"/>
    <w:rsid w:val="00132B29"/>
    <w:rsid w:val="00132D7F"/>
    <w:rsid w:val="00134135"/>
    <w:rsid w:val="00144C0B"/>
    <w:rsid w:val="00160147"/>
    <w:rsid w:val="0016619E"/>
    <w:rsid w:val="00167198"/>
    <w:rsid w:val="001720FF"/>
    <w:rsid w:val="001745C4"/>
    <w:rsid w:val="00175953"/>
    <w:rsid w:val="00175BD9"/>
    <w:rsid w:val="0017667A"/>
    <w:rsid w:val="001766BE"/>
    <w:rsid w:val="00181947"/>
    <w:rsid w:val="00181EC1"/>
    <w:rsid w:val="001842C8"/>
    <w:rsid w:val="001930C8"/>
    <w:rsid w:val="001A7C94"/>
    <w:rsid w:val="001C07DF"/>
    <w:rsid w:val="001C35D7"/>
    <w:rsid w:val="001C4886"/>
    <w:rsid w:val="001C4C82"/>
    <w:rsid w:val="001C5DE9"/>
    <w:rsid w:val="001D443A"/>
    <w:rsid w:val="001D4B9F"/>
    <w:rsid w:val="001D6FF1"/>
    <w:rsid w:val="001E608C"/>
    <w:rsid w:val="001E6341"/>
    <w:rsid w:val="001E6D3A"/>
    <w:rsid w:val="001E7073"/>
    <w:rsid w:val="001F00D7"/>
    <w:rsid w:val="001F2F28"/>
    <w:rsid w:val="001F5D30"/>
    <w:rsid w:val="00201F4B"/>
    <w:rsid w:val="00204FC6"/>
    <w:rsid w:val="002058EF"/>
    <w:rsid w:val="00205EF3"/>
    <w:rsid w:val="00206E01"/>
    <w:rsid w:val="002101FD"/>
    <w:rsid w:val="00211EE4"/>
    <w:rsid w:val="00213A30"/>
    <w:rsid w:val="00217342"/>
    <w:rsid w:val="00217B4E"/>
    <w:rsid w:val="002217BC"/>
    <w:rsid w:val="002231E2"/>
    <w:rsid w:val="00225E93"/>
    <w:rsid w:val="00230408"/>
    <w:rsid w:val="00234A0A"/>
    <w:rsid w:val="00234F65"/>
    <w:rsid w:val="002365C8"/>
    <w:rsid w:val="002371DC"/>
    <w:rsid w:val="00237EBB"/>
    <w:rsid w:val="0024184D"/>
    <w:rsid w:val="00241DCB"/>
    <w:rsid w:val="002437B1"/>
    <w:rsid w:val="002444E6"/>
    <w:rsid w:val="00260CA6"/>
    <w:rsid w:val="00261AE4"/>
    <w:rsid w:val="002620F6"/>
    <w:rsid w:val="0026238A"/>
    <w:rsid w:val="00263CC8"/>
    <w:rsid w:val="0026461F"/>
    <w:rsid w:val="00266F64"/>
    <w:rsid w:val="00271244"/>
    <w:rsid w:val="00275260"/>
    <w:rsid w:val="00281EF3"/>
    <w:rsid w:val="0028416C"/>
    <w:rsid w:val="002844D3"/>
    <w:rsid w:val="002930EC"/>
    <w:rsid w:val="00294359"/>
    <w:rsid w:val="002965E1"/>
    <w:rsid w:val="002A09F0"/>
    <w:rsid w:val="002A7892"/>
    <w:rsid w:val="002A7A3B"/>
    <w:rsid w:val="002A7B13"/>
    <w:rsid w:val="002B247C"/>
    <w:rsid w:val="002C21A2"/>
    <w:rsid w:val="002C4500"/>
    <w:rsid w:val="002C47BC"/>
    <w:rsid w:val="002C4C14"/>
    <w:rsid w:val="002D259F"/>
    <w:rsid w:val="002D3D04"/>
    <w:rsid w:val="002D3E0A"/>
    <w:rsid w:val="002E24D3"/>
    <w:rsid w:val="00302356"/>
    <w:rsid w:val="00312502"/>
    <w:rsid w:val="00313606"/>
    <w:rsid w:val="003140BC"/>
    <w:rsid w:val="00314727"/>
    <w:rsid w:val="003167EF"/>
    <w:rsid w:val="00323B08"/>
    <w:rsid w:val="00324F51"/>
    <w:rsid w:val="0032558F"/>
    <w:rsid w:val="003319F4"/>
    <w:rsid w:val="00334953"/>
    <w:rsid w:val="003373B5"/>
    <w:rsid w:val="00343CB7"/>
    <w:rsid w:val="00345954"/>
    <w:rsid w:val="00345E7F"/>
    <w:rsid w:val="00347696"/>
    <w:rsid w:val="00347A3B"/>
    <w:rsid w:val="00352FD9"/>
    <w:rsid w:val="00357D00"/>
    <w:rsid w:val="0036230F"/>
    <w:rsid w:val="00362D0A"/>
    <w:rsid w:val="00365B17"/>
    <w:rsid w:val="003662AB"/>
    <w:rsid w:val="00370668"/>
    <w:rsid w:val="00382471"/>
    <w:rsid w:val="003843A4"/>
    <w:rsid w:val="0038590E"/>
    <w:rsid w:val="00390DAD"/>
    <w:rsid w:val="00396601"/>
    <w:rsid w:val="00396B54"/>
    <w:rsid w:val="003A5B42"/>
    <w:rsid w:val="003B41C2"/>
    <w:rsid w:val="003E004E"/>
    <w:rsid w:val="003F21BA"/>
    <w:rsid w:val="003F7FB0"/>
    <w:rsid w:val="004005A0"/>
    <w:rsid w:val="0040239E"/>
    <w:rsid w:val="004023A6"/>
    <w:rsid w:val="004041A8"/>
    <w:rsid w:val="00407ECC"/>
    <w:rsid w:val="00412B41"/>
    <w:rsid w:val="00412F30"/>
    <w:rsid w:val="00413E99"/>
    <w:rsid w:val="004213FD"/>
    <w:rsid w:val="00421CF7"/>
    <w:rsid w:val="00423BD2"/>
    <w:rsid w:val="0042794A"/>
    <w:rsid w:val="00431122"/>
    <w:rsid w:val="00433195"/>
    <w:rsid w:val="00441215"/>
    <w:rsid w:val="00441C90"/>
    <w:rsid w:val="00443984"/>
    <w:rsid w:val="00443C7F"/>
    <w:rsid w:val="004446A3"/>
    <w:rsid w:val="0044482F"/>
    <w:rsid w:val="00450929"/>
    <w:rsid w:val="0045405A"/>
    <w:rsid w:val="004704E1"/>
    <w:rsid w:val="00480225"/>
    <w:rsid w:val="00481FF2"/>
    <w:rsid w:val="00483649"/>
    <w:rsid w:val="00497AFA"/>
    <w:rsid w:val="004A7D1F"/>
    <w:rsid w:val="004B5CBD"/>
    <w:rsid w:val="004B5DF0"/>
    <w:rsid w:val="004C111C"/>
    <w:rsid w:val="004C587E"/>
    <w:rsid w:val="004C58E2"/>
    <w:rsid w:val="004D50AB"/>
    <w:rsid w:val="004D5176"/>
    <w:rsid w:val="004E0CEA"/>
    <w:rsid w:val="004E3C7A"/>
    <w:rsid w:val="004E47FB"/>
    <w:rsid w:val="004E7219"/>
    <w:rsid w:val="004E773C"/>
    <w:rsid w:val="004F7B0B"/>
    <w:rsid w:val="00502FA7"/>
    <w:rsid w:val="00505150"/>
    <w:rsid w:val="00506905"/>
    <w:rsid w:val="005070D7"/>
    <w:rsid w:val="00512E9C"/>
    <w:rsid w:val="00524C81"/>
    <w:rsid w:val="00525267"/>
    <w:rsid w:val="00531903"/>
    <w:rsid w:val="00535C6F"/>
    <w:rsid w:val="0053602A"/>
    <w:rsid w:val="00536638"/>
    <w:rsid w:val="00544DAF"/>
    <w:rsid w:val="0054535E"/>
    <w:rsid w:val="0055289E"/>
    <w:rsid w:val="005709C8"/>
    <w:rsid w:val="00570A1D"/>
    <w:rsid w:val="00571D14"/>
    <w:rsid w:val="00592BE2"/>
    <w:rsid w:val="005957E5"/>
    <w:rsid w:val="005A4688"/>
    <w:rsid w:val="005A5A18"/>
    <w:rsid w:val="005B3F29"/>
    <w:rsid w:val="005B3F54"/>
    <w:rsid w:val="005C14DB"/>
    <w:rsid w:val="005C3BB6"/>
    <w:rsid w:val="005C452A"/>
    <w:rsid w:val="005C56CC"/>
    <w:rsid w:val="005D3442"/>
    <w:rsid w:val="005E0C3C"/>
    <w:rsid w:val="005E3DB1"/>
    <w:rsid w:val="005E5183"/>
    <w:rsid w:val="005E6717"/>
    <w:rsid w:val="005F132B"/>
    <w:rsid w:val="005F26A2"/>
    <w:rsid w:val="005F5630"/>
    <w:rsid w:val="005F5FB4"/>
    <w:rsid w:val="005F6688"/>
    <w:rsid w:val="006201E4"/>
    <w:rsid w:val="00621A5F"/>
    <w:rsid w:val="00622558"/>
    <w:rsid w:val="00635794"/>
    <w:rsid w:val="006420EA"/>
    <w:rsid w:val="00644A62"/>
    <w:rsid w:val="00644D3D"/>
    <w:rsid w:val="0064645B"/>
    <w:rsid w:val="006500EF"/>
    <w:rsid w:val="00650E0A"/>
    <w:rsid w:val="00655881"/>
    <w:rsid w:val="00656E4A"/>
    <w:rsid w:val="00660C4D"/>
    <w:rsid w:val="00664C1C"/>
    <w:rsid w:val="0066777D"/>
    <w:rsid w:val="00671C00"/>
    <w:rsid w:val="00677BFA"/>
    <w:rsid w:val="00680358"/>
    <w:rsid w:val="00680D98"/>
    <w:rsid w:val="00682062"/>
    <w:rsid w:val="00693BD6"/>
    <w:rsid w:val="00693E74"/>
    <w:rsid w:val="006A1FAB"/>
    <w:rsid w:val="006A23A6"/>
    <w:rsid w:val="006A6AF3"/>
    <w:rsid w:val="006A719E"/>
    <w:rsid w:val="006A7AFC"/>
    <w:rsid w:val="006C2A1D"/>
    <w:rsid w:val="006C6238"/>
    <w:rsid w:val="006D3E3F"/>
    <w:rsid w:val="006E1504"/>
    <w:rsid w:val="006E4D5E"/>
    <w:rsid w:val="006E5BAE"/>
    <w:rsid w:val="006E710A"/>
    <w:rsid w:val="006F02D3"/>
    <w:rsid w:val="006F29B9"/>
    <w:rsid w:val="006F30B2"/>
    <w:rsid w:val="006F5130"/>
    <w:rsid w:val="006F5EDB"/>
    <w:rsid w:val="006F61DE"/>
    <w:rsid w:val="006F7747"/>
    <w:rsid w:val="007062C4"/>
    <w:rsid w:val="00706F5F"/>
    <w:rsid w:val="00707D57"/>
    <w:rsid w:val="00710813"/>
    <w:rsid w:val="00712050"/>
    <w:rsid w:val="00712FD9"/>
    <w:rsid w:val="00723DFD"/>
    <w:rsid w:val="00725CCC"/>
    <w:rsid w:val="00726D52"/>
    <w:rsid w:val="00731B63"/>
    <w:rsid w:val="00736577"/>
    <w:rsid w:val="00736817"/>
    <w:rsid w:val="00736A5C"/>
    <w:rsid w:val="00741FF7"/>
    <w:rsid w:val="00744289"/>
    <w:rsid w:val="00745856"/>
    <w:rsid w:val="00746B2B"/>
    <w:rsid w:val="007507DD"/>
    <w:rsid w:val="00750C8F"/>
    <w:rsid w:val="007517D0"/>
    <w:rsid w:val="007611DB"/>
    <w:rsid w:val="0076255E"/>
    <w:rsid w:val="0078079D"/>
    <w:rsid w:val="00783238"/>
    <w:rsid w:val="00783E69"/>
    <w:rsid w:val="0078494C"/>
    <w:rsid w:val="00790F13"/>
    <w:rsid w:val="007A443D"/>
    <w:rsid w:val="007A547C"/>
    <w:rsid w:val="007A5631"/>
    <w:rsid w:val="007A616B"/>
    <w:rsid w:val="007B01FB"/>
    <w:rsid w:val="007C24F5"/>
    <w:rsid w:val="007C538F"/>
    <w:rsid w:val="007C5FC8"/>
    <w:rsid w:val="007D5D14"/>
    <w:rsid w:val="007D67A7"/>
    <w:rsid w:val="007D7CA1"/>
    <w:rsid w:val="007E31F3"/>
    <w:rsid w:val="007F1898"/>
    <w:rsid w:val="0080457C"/>
    <w:rsid w:val="00805B40"/>
    <w:rsid w:val="0081584C"/>
    <w:rsid w:val="00822E2D"/>
    <w:rsid w:val="0082352D"/>
    <w:rsid w:val="00826568"/>
    <w:rsid w:val="00827E15"/>
    <w:rsid w:val="00832E69"/>
    <w:rsid w:val="00870434"/>
    <w:rsid w:val="00872799"/>
    <w:rsid w:val="0087420D"/>
    <w:rsid w:val="00877C2B"/>
    <w:rsid w:val="00883380"/>
    <w:rsid w:val="00883A5A"/>
    <w:rsid w:val="0088496C"/>
    <w:rsid w:val="00884D1F"/>
    <w:rsid w:val="00892B36"/>
    <w:rsid w:val="00895F5A"/>
    <w:rsid w:val="00896102"/>
    <w:rsid w:val="008A07F1"/>
    <w:rsid w:val="008A3AD3"/>
    <w:rsid w:val="008A6CFA"/>
    <w:rsid w:val="008C0BD6"/>
    <w:rsid w:val="008C745B"/>
    <w:rsid w:val="008C7EB6"/>
    <w:rsid w:val="008D666C"/>
    <w:rsid w:val="008D6B54"/>
    <w:rsid w:val="008E7CB2"/>
    <w:rsid w:val="008F0C3C"/>
    <w:rsid w:val="008F0E65"/>
    <w:rsid w:val="008F2E49"/>
    <w:rsid w:val="008F4E96"/>
    <w:rsid w:val="008F5D0C"/>
    <w:rsid w:val="008F6B9F"/>
    <w:rsid w:val="009022BB"/>
    <w:rsid w:val="0090418F"/>
    <w:rsid w:val="00910991"/>
    <w:rsid w:val="00910F84"/>
    <w:rsid w:val="0091436B"/>
    <w:rsid w:val="00922827"/>
    <w:rsid w:val="0092486C"/>
    <w:rsid w:val="009262E9"/>
    <w:rsid w:val="0092648D"/>
    <w:rsid w:val="00932027"/>
    <w:rsid w:val="00933864"/>
    <w:rsid w:val="009355CF"/>
    <w:rsid w:val="0093598F"/>
    <w:rsid w:val="009377F1"/>
    <w:rsid w:val="00950CB1"/>
    <w:rsid w:val="009532AA"/>
    <w:rsid w:val="00967DA0"/>
    <w:rsid w:val="00971952"/>
    <w:rsid w:val="00974CAE"/>
    <w:rsid w:val="00975F0E"/>
    <w:rsid w:val="009836F6"/>
    <w:rsid w:val="00984B55"/>
    <w:rsid w:val="009875A4"/>
    <w:rsid w:val="0099482F"/>
    <w:rsid w:val="009A22F6"/>
    <w:rsid w:val="009A565D"/>
    <w:rsid w:val="009B5F1B"/>
    <w:rsid w:val="009C39D5"/>
    <w:rsid w:val="009D7A0E"/>
    <w:rsid w:val="009E5CD4"/>
    <w:rsid w:val="009F43C5"/>
    <w:rsid w:val="009F7EAC"/>
    <w:rsid w:val="00A0363D"/>
    <w:rsid w:val="00A03EF2"/>
    <w:rsid w:val="00A04E17"/>
    <w:rsid w:val="00A05EB9"/>
    <w:rsid w:val="00A06B2C"/>
    <w:rsid w:val="00A159DC"/>
    <w:rsid w:val="00A26E68"/>
    <w:rsid w:val="00A33A98"/>
    <w:rsid w:val="00A37D57"/>
    <w:rsid w:val="00A433AE"/>
    <w:rsid w:val="00A44748"/>
    <w:rsid w:val="00A44EB2"/>
    <w:rsid w:val="00A531C3"/>
    <w:rsid w:val="00A56096"/>
    <w:rsid w:val="00A56652"/>
    <w:rsid w:val="00A60CE1"/>
    <w:rsid w:val="00A646B0"/>
    <w:rsid w:val="00A74BEB"/>
    <w:rsid w:val="00A75791"/>
    <w:rsid w:val="00A766CB"/>
    <w:rsid w:val="00A76A8B"/>
    <w:rsid w:val="00A77361"/>
    <w:rsid w:val="00A77D78"/>
    <w:rsid w:val="00A81D5E"/>
    <w:rsid w:val="00A8689B"/>
    <w:rsid w:val="00A961D1"/>
    <w:rsid w:val="00AC5845"/>
    <w:rsid w:val="00AC70F4"/>
    <w:rsid w:val="00AE062C"/>
    <w:rsid w:val="00AE5A5B"/>
    <w:rsid w:val="00AE710A"/>
    <w:rsid w:val="00AE7429"/>
    <w:rsid w:val="00AF2D43"/>
    <w:rsid w:val="00AF467F"/>
    <w:rsid w:val="00AF6E0A"/>
    <w:rsid w:val="00AF7EB8"/>
    <w:rsid w:val="00B00729"/>
    <w:rsid w:val="00B00B1D"/>
    <w:rsid w:val="00B038D0"/>
    <w:rsid w:val="00B0687F"/>
    <w:rsid w:val="00B078F5"/>
    <w:rsid w:val="00B10D3D"/>
    <w:rsid w:val="00B1317C"/>
    <w:rsid w:val="00B1503A"/>
    <w:rsid w:val="00B16C1D"/>
    <w:rsid w:val="00B17062"/>
    <w:rsid w:val="00B17797"/>
    <w:rsid w:val="00B2629F"/>
    <w:rsid w:val="00B27709"/>
    <w:rsid w:val="00B36209"/>
    <w:rsid w:val="00B43C41"/>
    <w:rsid w:val="00B45348"/>
    <w:rsid w:val="00B50EBA"/>
    <w:rsid w:val="00B5136E"/>
    <w:rsid w:val="00B54D0B"/>
    <w:rsid w:val="00B54EF9"/>
    <w:rsid w:val="00B5751D"/>
    <w:rsid w:val="00B74F12"/>
    <w:rsid w:val="00B76F12"/>
    <w:rsid w:val="00B809CD"/>
    <w:rsid w:val="00B829CA"/>
    <w:rsid w:val="00B92BE6"/>
    <w:rsid w:val="00BA2F14"/>
    <w:rsid w:val="00BA48E1"/>
    <w:rsid w:val="00BA55F2"/>
    <w:rsid w:val="00BA6EAD"/>
    <w:rsid w:val="00BB3FF5"/>
    <w:rsid w:val="00BB6E86"/>
    <w:rsid w:val="00BC64D2"/>
    <w:rsid w:val="00BD14E9"/>
    <w:rsid w:val="00BD35C7"/>
    <w:rsid w:val="00BD45A9"/>
    <w:rsid w:val="00BD5CDE"/>
    <w:rsid w:val="00BD65C3"/>
    <w:rsid w:val="00BD684E"/>
    <w:rsid w:val="00BD6CB1"/>
    <w:rsid w:val="00BE3B30"/>
    <w:rsid w:val="00BE6A8B"/>
    <w:rsid w:val="00BF106C"/>
    <w:rsid w:val="00BF5F0F"/>
    <w:rsid w:val="00BF644A"/>
    <w:rsid w:val="00C00881"/>
    <w:rsid w:val="00C01735"/>
    <w:rsid w:val="00C01F74"/>
    <w:rsid w:val="00C046C6"/>
    <w:rsid w:val="00C05E61"/>
    <w:rsid w:val="00C12534"/>
    <w:rsid w:val="00C13549"/>
    <w:rsid w:val="00C20033"/>
    <w:rsid w:val="00C237F0"/>
    <w:rsid w:val="00C23C8B"/>
    <w:rsid w:val="00C253BD"/>
    <w:rsid w:val="00C26CB2"/>
    <w:rsid w:val="00C36687"/>
    <w:rsid w:val="00C468C4"/>
    <w:rsid w:val="00C538A7"/>
    <w:rsid w:val="00C564F1"/>
    <w:rsid w:val="00C620E0"/>
    <w:rsid w:val="00C66765"/>
    <w:rsid w:val="00C67B72"/>
    <w:rsid w:val="00C715EE"/>
    <w:rsid w:val="00C75AD6"/>
    <w:rsid w:val="00C779DA"/>
    <w:rsid w:val="00C805FC"/>
    <w:rsid w:val="00C8288F"/>
    <w:rsid w:val="00C86AC8"/>
    <w:rsid w:val="00C95135"/>
    <w:rsid w:val="00C97F61"/>
    <w:rsid w:val="00CA0EDB"/>
    <w:rsid w:val="00CA742B"/>
    <w:rsid w:val="00CB48D5"/>
    <w:rsid w:val="00CB560A"/>
    <w:rsid w:val="00CC14C4"/>
    <w:rsid w:val="00CC486E"/>
    <w:rsid w:val="00CC4D88"/>
    <w:rsid w:val="00CC75A1"/>
    <w:rsid w:val="00CD4325"/>
    <w:rsid w:val="00CE0E26"/>
    <w:rsid w:val="00CE11E4"/>
    <w:rsid w:val="00CE23E3"/>
    <w:rsid w:val="00D02EBF"/>
    <w:rsid w:val="00D04801"/>
    <w:rsid w:val="00D10A6F"/>
    <w:rsid w:val="00D17999"/>
    <w:rsid w:val="00D20CAF"/>
    <w:rsid w:val="00D2706F"/>
    <w:rsid w:val="00D27952"/>
    <w:rsid w:val="00D27FA4"/>
    <w:rsid w:val="00D43B66"/>
    <w:rsid w:val="00D47126"/>
    <w:rsid w:val="00D47C4A"/>
    <w:rsid w:val="00D515D0"/>
    <w:rsid w:val="00D521C4"/>
    <w:rsid w:val="00D541C1"/>
    <w:rsid w:val="00D55242"/>
    <w:rsid w:val="00D63D95"/>
    <w:rsid w:val="00D66B4C"/>
    <w:rsid w:val="00D710F4"/>
    <w:rsid w:val="00D7298C"/>
    <w:rsid w:val="00D75CF1"/>
    <w:rsid w:val="00D77314"/>
    <w:rsid w:val="00D805AA"/>
    <w:rsid w:val="00D81529"/>
    <w:rsid w:val="00D853F1"/>
    <w:rsid w:val="00D86770"/>
    <w:rsid w:val="00D86A99"/>
    <w:rsid w:val="00D90B24"/>
    <w:rsid w:val="00D93203"/>
    <w:rsid w:val="00D94088"/>
    <w:rsid w:val="00D96602"/>
    <w:rsid w:val="00D97328"/>
    <w:rsid w:val="00DA0B96"/>
    <w:rsid w:val="00DB08C3"/>
    <w:rsid w:val="00DB09B4"/>
    <w:rsid w:val="00DC086C"/>
    <w:rsid w:val="00DC2450"/>
    <w:rsid w:val="00DC274F"/>
    <w:rsid w:val="00DC325F"/>
    <w:rsid w:val="00DC645F"/>
    <w:rsid w:val="00DC65A5"/>
    <w:rsid w:val="00DC7BE7"/>
    <w:rsid w:val="00DD16EC"/>
    <w:rsid w:val="00DD3873"/>
    <w:rsid w:val="00DD5412"/>
    <w:rsid w:val="00DD61B9"/>
    <w:rsid w:val="00DD6629"/>
    <w:rsid w:val="00DE43B7"/>
    <w:rsid w:val="00DF4365"/>
    <w:rsid w:val="00DF71C8"/>
    <w:rsid w:val="00E06383"/>
    <w:rsid w:val="00E064A7"/>
    <w:rsid w:val="00E07F17"/>
    <w:rsid w:val="00E222F4"/>
    <w:rsid w:val="00E26C63"/>
    <w:rsid w:val="00E34475"/>
    <w:rsid w:val="00E37AF3"/>
    <w:rsid w:val="00E41880"/>
    <w:rsid w:val="00E41C83"/>
    <w:rsid w:val="00E442E3"/>
    <w:rsid w:val="00E525A6"/>
    <w:rsid w:val="00E54004"/>
    <w:rsid w:val="00E60E3F"/>
    <w:rsid w:val="00E64CCA"/>
    <w:rsid w:val="00E66BB7"/>
    <w:rsid w:val="00E66CD0"/>
    <w:rsid w:val="00E72AEA"/>
    <w:rsid w:val="00E73E70"/>
    <w:rsid w:val="00E75404"/>
    <w:rsid w:val="00E769FA"/>
    <w:rsid w:val="00E81973"/>
    <w:rsid w:val="00E8298A"/>
    <w:rsid w:val="00E841F5"/>
    <w:rsid w:val="00E90697"/>
    <w:rsid w:val="00E95F88"/>
    <w:rsid w:val="00EA367B"/>
    <w:rsid w:val="00EA488E"/>
    <w:rsid w:val="00EA4DDB"/>
    <w:rsid w:val="00EB5922"/>
    <w:rsid w:val="00EB6B52"/>
    <w:rsid w:val="00EB7310"/>
    <w:rsid w:val="00EC5B43"/>
    <w:rsid w:val="00EC603D"/>
    <w:rsid w:val="00EC7496"/>
    <w:rsid w:val="00ED4903"/>
    <w:rsid w:val="00ED4984"/>
    <w:rsid w:val="00EE1018"/>
    <w:rsid w:val="00EE4ACC"/>
    <w:rsid w:val="00EF754B"/>
    <w:rsid w:val="00EF7B27"/>
    <w:rsid w:val="00F069E1"/>
    <w:rsid w:val="00F07BC6"/>
    <w:rsid w:val="00F12692"/>
    <w:rsid w:val="00F13252"/>
    <w:rsid w:val="00F13A51"/>
    <w:rsid w:val="00F13DF0"/>
    <w:rsid w:val="00F17AB1"/>
    <w:rsid w:val="00F218F2"/>
    <w:rsid w:val="00F2234E"/>
    <w:rsid w:val="00F22542"/>
    <w:rsid w:val="00F30424"/>
    <w:rsid w:val="00F3264B"/>
    <w:rsid w:val="00F33BE4"/>
    <w:rsid w:val="00F36821"/>
    <w:rsid w:val="00F37CC3"/>
    <w:rsid w:val="00F4116F"/>
    <w:rsid w:val="00F4251C"/>
    <w:rsid w:val="00F45695"/>
    <w:rsid w:val="00F4644F"/>
    <w:rsid w:val="00F46B31"/>
    <w:rsid w:val="00F50C61"/>
    <w:rsid w:val="00F52DBD"/>
    <w:rsid w:val="00F536AC"/>
    <w:rsid w:val="00F56A6C"/>
    <w:rsid w:val="00F63291"/>
    <w:rsid w:val="00F671D3"/>
    <w:rsid w:val="00F67681"/>
    <w:rsid w:val="00F74167"/>
    <w:rsid w:val="00F83FA1"/>
    <w:rsid w:val="00F915F3"/>
    <w:rsid w:val="00F9258E"/>
    <w:rsid w:val="00F97097"/>
    <w:rsid w:val="00FA180C"/>
    <w:rsid w:val="00FA62F4"/>
    <w:rsid w:val="00FA64F0"/>
    <w:rsid w:val="00FA789D"/>
    <w:rsid w:val="00FB13F7"/>
    <w:rsid w:val="00FB18F1"/>
    <w:rsid w:val="00FD0BE5"/>
    <w:rsid w:val="00FD6F3A"/>
    <w:rsid w:val="00FD7AFF"/>
    <w:rsid w:val="00FE2339"/>
    <w:rsid w:val="00FE4C97"/>
    <w:rsid w:val="00FE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0D75-6DD4-4C42-AE9B-668A667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3484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Monroe, Loraine G.</dc:creator>
  <cp:lastModifiedBy>Venture</cp:lastModifiedBy>
  <cp:revision>3</cp:revision>
  <cp:lastPrinted>2015-11-23T21:41:00Z</cp:lastPrinted>
  <dcterms:created xsi:type="dcterms:W3CDTF">2015-12-19T04:49:00Z</dcterms:created>
  <dcterms:modified xsi:type="dcterms:W3CDTF">2015-12-19T05:27:00Z</dcterms:modified>
</cp:coreProperties>
</file>