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F9286D">
      <w:pPr>
        <w:pStyle w:val="TableTitle"/>
        <w:tabs>
          <w:tab w:val="left" w:pos="5148"/>
        </w:tabs>
        <w:spacing w:before="0"/>
      </w:pPr>
      <w:r>
        <w:t>Evidence Table E8. Loss of control of eating: Children – Part 8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Weight Related Measure(s)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Outcomes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Biomarker Outcomes Other Than Weight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BMI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26.17 (SD 3.21)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G2: 28.60 (SD 4.57)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meansPost-treatment BMI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26.12 (SD 2.95)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28.98 (SD 4.69)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 statistically significant within-group difference on change from baseline: BMI increased 0.34 from BL (t=2.17, p=0.037)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means6m BMI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26.55 (SD 3.08)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29.44 (SD 4.79)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 statistically significant within-group difference on change from baseline: BMI increased 0.79 from BL (t=3.42, p=0.005)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Observed means12m BMI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28.09 (SD 4.50)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30.65 (SD 5.07)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 statistically significant within-group difference on change from baseline: BMI increased 1.30 from BL (t=2.86, p=0.014)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E8. Loss of control of eating: Children – Part 8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Weight Related Measure(s)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Outcomes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Biomarker Outcomes Other Than Weight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model: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we used an unstructured covariance matrix with BMI as an outcome, there was a significant time main effect for G2 (F=6.19, p=0.002) but not for G1 (F=2.65, p=0.065), and there was no significant time-by-condition interaction (F=0.64, p=0.595)."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"When we used an unstructured covariance matrix with BMI z-score as an outcome, there was not a significant time effect for G1 (F=0.87, p=0.466) or for G2 (F=1.00, p=0.405), nor was there a significant time-by-condition interaction (F=0.56, p=0.644)."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8. Loss of control of eating: Kids – Part 8 (continued)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Weight Related Measure(s)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Outcomes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Biomarker Outcomes Other Than Weight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-BMI, mean +/- SD, kg/m2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-BMI z score, mean +/- SD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BMI, mean +/- SD, kg/m2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Baseline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30.58 +/-  4.9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30.64 +/-  5.97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z score, mean +/- SD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Baseline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1.81 +/-  0.47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G2: 1.79 +/-  0.51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BMI, mean +/- SD, kg/m2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Posttreatment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28.76 +/-  4.72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29.99 +/-  5.92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Follow-up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29.76 +/-  5.34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31.17 +/-  6.33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P&lt; .001, compared with WLC group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z score, mean +/- SD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Postreatmetn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1.56 +/-  0.59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1.68 +/- 0.54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Follow-up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1.60 +/- 0.62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1.76 +/- 0.57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P&lt; .001, compared with WLC group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8. Loss of control of eating: Kids – Part 8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Weight Related Measure(s)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Outcomes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Biomarker Outcomes Other Than Weight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(all of the below reported at 1 year follow-up only for girls with baseline LOC eating)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 Score (kg/m^2)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 Z-score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 Percentile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- Percentage with growth ≤ expected, as measured using BMI (between baseline and 1 year follow-up)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Baseline data for all three BMI outcomes for girls with baseline LOC eating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BMI (SD) (kg/m^2):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BMI z-score (SD):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Mean BMI percentile (SD):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 = NS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growth ≤ expected: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p = NS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</w:tbl>
    <w:p w:rsidR="00B84EDF" w:rsidRDefault="00B84EDF" w:rsidP="00B84EDF"/>
    <w:p w:rsidR="00B84EDF" w:rsidRDefault="00B84EDF" w:rsidP="00B84EDF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8. Loss of control of eating: Kids – Part 8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Weight Related Measure(s)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Outcomes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Biomarker Outcomes Other Than Weight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Baseline</w:t>
            </w:r>
          </w:p>
        </w:tc>
        <w:tc>
          <w:tcPr>
            <w:tcW w:w="2016" w:type="dxa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gain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z-score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%ile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nonobese at BL and nonobese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obese at BL and nonobese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obese at BL and 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nonobese at BL and obese at 12m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Decrease in % of adiposity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26.9 (SD 2.6)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27.1 (SD 2.4)</w:t>
            </w:r>
          </w:p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p=0.63</w:t>
            </w:r>
          </w:p>
        </w:tc>
        <w:tc>
          <w:tcPr>
            <w:tcW w:w="2016" w:type="dxa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gain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Girls in both groups gained less-than-expected BMI throughout the study, F=10.70, p&lt;0.001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 had 1.59x (95% CI 0.67, 3.79) greater odds of gaining more-than-expected BMI at 12m relative to G1, p=0.30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z-score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Group-by-interval effect p=0.49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BMI %ile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nonobese at BL and nonobese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54.5%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53.4%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p=1.00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obese at BL and nonobese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9.1%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8.6%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p=1.00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obese at BL and 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34.5%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27.6%</w:t>
            </w:r>
          </w:p>
          <w:p w:rsidR="00B84EDF" w:rsidRPr="00552FD6" w:rsidRDefault="00B84EDF" w:rsidP="008B126E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p=0.54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8. Loss of control of eating: Kids – Part 8</w:t>
      </w:r>
    </w:p>
    <w:tbl>
      <w:tblPr>
        <w:tblStyle w:val="AHRQ1"/>
        <w:tblW w:w="13824" w:type="dxa"/>
        <w:tblLayout w:type="fixed"/>
        <w:tblLook w:val="04A0"/>
      </w:tblPr>
      <w:tblGrid>
        <w:gridCol w:w="1621"/>
        <w:gridCol w:w="107"/>
        <w:gridCol w:w="1782"/>
        <w:gridCol w:w="234"/>
        <w:gridCol w:w="1656"/>
        <w:gridCol w:w="360"/>
        <w:gridCol w:w="1530"/>
        <w:gridCol w:w="486"/>
        <w:gridCol w:w="1404"/>
        <w:gridCol w:w="612"/>
        <w:gridCol w:w="1278"/>
        <w:gridCol w:w="738"/>
        <w:gridCol w:w="1152"/>
        <w:gridCol w:w="864"/>
      </w:tblGrid>
      <w:tr w:rsidR="00B84EDF" w:rsidRPr="00F0301D" w:rsidTr="00D26E16">
        <w:trPr>
          <w:cnfStyle w:val="100000000000"/>
        </w:trPr>
        <w:tc>
          <w:tcPr>
            <w:tcW w:w="1728" w:type="dxa"/>
            <w:gridSpan w:val="2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  <w:gridSpan w:val="2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Weight Related Measure(s)</w:t>
            </w:r>
          </w:p>
        </w:tc>
        <w:tc>
          <w:tcPr>
            <w:tcW w:w="2016" w:type="dxa"/>
            <w:gridSpan w:val="2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Baseline</w:t>
            </w:r>
          </w:p>
        </w:tc>
        <w:tc>
          <w:tcPr>
            <w:tcW w:w="2016" w:type="dxa"/>
            <w:gridSpan w:val="2"/>
          </w:tcPr>
          <w:p w:rsidR="00B84EDF" w:rsidRPr="0095667B" w:rsidRDefault="00B84EDF" w:rsidP="00D26E16">
            <w:pPr>
              <w:pStyle w:val="TableText2"/>
            </w:pPr>
            <w:r w:rsidRPr="0095667B">
              <w:t>Weight Related Outcomes</w:t>
            </w:r>
          </w:p>
        </w:tc>
        <w:tc>
          <w:tcPr>
            <w:tcW w:w="2016" w:type="dxa"/>
            <w:gridSpan w:val="2"/>
          </w:tcPr>
          <w:p w:rsidR="00B84EDF" w:rsidRPr="0095667B" w:rsidRDefault="00B84EDF" w:rsidP="00D26E16">
            <w:pPr>
              <w:pStyle w:val="TableText2"/>
            </w:pPr>
            <w:r w:rsidRPr="0095667B">
              <w:t>Definition of Biomarker Outcomes Other Than Weight</w:t>
            </w:r>
          </w:p>
        </w:tc>
        <w:tc>
          <w:tcPr>
            <w:tcW w:w="2016" w:type="dxa"/>
            <w:gridSpan w:val="2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Baseline</w:t>
            </w:r>
          </w:p>
        </w:tc>
        <w:tc>
          <w:tcPr>
            <w:tcW w:w="2016" w:type="dxa"/>
            <w:gridSpan w:val="2"/>
          </w:tcPr>
          <w:p w:rsidR="00B84EDF" w:rsidRPr="0095667B" w:rsidRDefault="00B84EDF" w:rsidP="00D26E16">
            <w:pPr>
              <w:pStyle w:val="TableText2"/>
            </w:pPr>
            <w:r w:rsidRPr="0095667B">
              <w:t>Biomarker Outcomes Other Than Weight Outcomes</w:t>
            </w:r>
          </w:p>
        </w:tc>
      </w:tr>
      <w:tr w:rsidR="00B84EDF" w:rsidRPr="00552FD6" w:rsidTr="00D26E16">
        <w:tc>
          <w:tcPr>
            <w:tcW w:w="1728" w:type="dxa"/>
            <w:gridSpan w:val="2"/>
          </w:tcPr>
          <w:p w:rsidR="00B84EDF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2016" w:type="dxa"/>
            <w:gridSpan w:val="2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  <w:gridSpan w:val="2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  <w:gridSpan w:val="2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% nonobese at BL and obese at 12m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1.8%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10.3%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p=0.11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12m Decrease in % of adiposity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G1: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G2: NR</w:t>
            </w:r>
          </w:p>
          <w:p w:rsidR="00B84EDF" w:rsidRPr="00803539" w:rsidRDefault="00B84EDF" w:rsidP="00D26E16">
            <w:pPr>
              <w:pStyle w:val="TableText2"/>
              <w:rPr>
                <w:noProof/>
              </w:rPr>
            </w:pPr>
            <w:r w:rsidRPr="00803539">
              <w:rPr>
                <w:noProof/>
              </w:rPr>
              <w:t>No significant group-by-interval effect, F=0.03, p=0.85</w:t>
            </w:r>
          </w:p>
        </w:tc>
        <w:tc>
          <w:tcPr>
            <w:tcW w:w="2016" w:type="dxa"/>
            <w:gridSpan w:val="2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  <w:gridSpan w:val="2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2016" w:type="dxa"/>
            <w:gridSpan w:val="2"/>
          </w:tcPr>
          <w:p w:rsidR="00B84EDF" w:rsidRPr="00803539" w:rsidRDefault="00B84EDF" w:rsidP="00D26E16">
            <w:pPr>
              <w:pStyle w:val="TableText2"/>
              <w:rPr>
                <w:noProof/>
              </w:rPr>
            </w:pPr>
          </w:p>
        </w:tc>
      </w:tr>
      <w:tr w:rsidR="00B84EDF" w:rsidRPr="00552FD6" w:rsidTr="00D26E16">
        <w:trPr>
          <w:gridAfter w:val="1"/>
          <w:wAfter w:w="864" w:type="dxa"/>
        </w:trPr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889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rPr>
          <w:gridAfter w:val="1"/>
          <w:wAfter w:w="864" w:type="dxa"/>
        </w:trPr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889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rPr>
          <w:gridAfter w:val="1"/>
          <w:wAfter w:w="864" w:type="dxa"/>
        </w:trPr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889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rPr>
          <w:gridAfter w:val="1"/>
          <w:wAfter w:w="864" w:type="dxa"/>
        </w:trPr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889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  <w:gridSpan w:val="2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BD6C05">
      <w:pPr>
        <w:ind w:firstLine="720"/>
      </w:pPr>
    </w:p>
    <w:sectPr w:rsidR="00B84EDF" w:rsidSect="00F63909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2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D0" w:rsidRDefault="005167D0" w:rsidP="000F546A">
      <w:r>
        <w:separator/>
      </w:r>
    </w:p>
  </w:endnote>
  <w:endnote w:type="continuationSeparator" w:id="1">
    <w:p w:rsidR="005167D0" w:rsidRDefault="005167D0" w:rsidP="000F546A">
      <w:r>
        <w:continuationSeparator/>
      </w:r>
    </w:p>
  </w:endnote>
  <w:endnote w:type="continuationNotice" w:id="2">
    <w:p w:rsidR="005167D0" w:rsidRDefault="005167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F9286D">
        <w:rPr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D0" w:rsidRDefault="005167D0" w:rsidP="000F546A">
      <w:r>
        <w:separator/>
      </w:r>
    </w:p>
  </w:footnote>
  <w:footnote w:type="continuationSeparator" w:id="1">
    <w:p w:rsidR="005167D0" w:rsidRDefault="005167D0" w:rsidP="000F546A">
      <w:r>
        <w:continuationSeparator/>
      </w:r>
    </w:p>
  </w:footnote>
  <w:footnote w:type="continuationNotice" w:id="2">
    <w:p w:rsidR="005167D0" w:rsidRDefault="005167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16489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66F9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3F6F2A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67D0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563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4DF0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6C05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3909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86D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4</cp:revision>
  <cp:lastPrinted>2015-11-08T13:50:00Z</cp:lastPrinted>
  <dcterms:created xsi:type="dcterms:W3CDTF">2015-12-26T05:04:00Z</dcterms:created>
  <dcterms:modified xsi:type="dcterms:W3CDTF">2015-12-28T04:04:00Z</dcterms:modified>
</cp:coreProperties>
</file>