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E77. Course of illness studies – part 5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5558FD">
              <w:t>Definition of Eating Related Psychopathology</w:t>
            </w:r>
            <w:r>
              <w:t xml:space="preserve"> </w:t>
            </w:r>
            <w:r w:rsidRPr="00F72123">
              <w:t>(EDE; TFEQ; BES; EDI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5558FD">
              <w:t>Eating Related 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5558FD">
              <w:t>Eating Related 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Agras</w:t>
            </w:r>
            <w:r>
              <w:t xml:space="preserve">, </w:t>
            </w:r>
            <w:r w:rsidRPr="00A6773C">
              <w:rPr>
                <w:noProof/>
              </w:rPr>
              <w:t>1997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87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Busetto</w:t>
            </w:r>
            <w:r>
              <w:t xml:space="preserve">, </w:t>
            </w:r>
            <w:r w:rsidRPr="00A6773C">
              <w:rPr>
                <w:noProof/>
              </w:rPr>
              <w:t>2005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88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Castellini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89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Eisenberg, 2010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90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Neumark-Sztainer, 2011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91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Goldschmidt, 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Fichter, 1993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Fichter, 1998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Fichter, 2003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95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Fichter, 2008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96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Eating Disorder Inventory (EDI): total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Anorexia Nervosa Inventory of Self Rating (ANIS)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Structured Interview for anorexic and bulimic syndromes (SIAB)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EDI Total: 1.34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ANIS Total: 2.56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SIAB-S: 1.83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EDI total: B v FU3: p &lt; 0.001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EDI total: B v FU6: p &lt; 0.001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ANIS total: B v FU3: p &lt; 0.001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ANIS total: B v FU6: p &lt; 0.001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SIAB total: B v FU3: p &lt; 0.001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SIAB total: B v FU6: p &lt; 0.001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Field, 2012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Sonneville, 2013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98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Hilbert, 2013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Hilbert, 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100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MLM used to predict global eating disorder (psychopathology (ChEDE-Q): sig variables were depression, female, weight, concurrent LOC,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Linna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101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Maxwell</w:t>
            </w:r>
            <w:r>
              <w:t xml:space="preserve">, </w:t>
            </w:r>
            <w:r w:rsidRPr="00A6773C">
              <w:rPr>
                <w:noProof/>
              </w:rPr>
              <w:t>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102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Preti</w:t>
            </w:r>
            <w:r>
              <w:t xml:space="preserve">, </w:t>
            </w:r>
            <w:r w:rsidRPr="00A6773C">
              <w:rPr>
                <w:noProof/>
              </w:rPr>
              <w:t>2011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103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Ricca</w:t>
            </w:r>
            <w:r>
              <w:t xml:space="preserve">, </w:t>
            </w:r>
            <w:r w:rsidRPr="00A6773C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Binge Eating Scale (BES)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Emotional Eating Scale (EES)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EDE-Q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-total score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-restraint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-eating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-weight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-shape concern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Onset of frequent compensatory behaviors (posttreatment only)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Binge Eating Scale (BES), median (quartiles)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19.0 (13.0, 30.0)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21.5 (17.0, 30.0)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Emotional Eating Scale (EES), median (quartiles)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1.9 (1.2, 2.7)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G2:1.9 (1.4, 2.7)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EDE-Q-total score, median (quartiles)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3.2 (2.6, 3.7)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G2:3.0 (2.4, 3.6)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ED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3y Binge Eating Scale (BES), median (quartiles), p for  within-group change posttreatment to 3y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17.5 (12.0, 31.0), p=NR, NS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17.0 (11.0, 25.0), p=NR, NS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3y Emotional Eating Scale (EES), median (quartiles), p for  within-group change posttreatment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E77. Course of illness studies – part 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5558FD">
              <w:t>Definition of Eating Related Psychopathology</w:t>
            </w:r>
            <w:r>
              <w:t xml:space="preserve"> </w:t>
            </w:r>
            <w:r w:rsidRPr="00F72123">
              <w:t>(EDE; TFEQ; BES; EDI etc.)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5558FD">
              <w:t>Eating Related 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5558FD">
              <w:t>Eating Related 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Suokas</w:t>
            </w:r>
            <w:r>
              <w:t xml:space="preserve">, </w:t>
            </w:r>
            <w:r w:rsidRPr="00A6773C">
              <w:rPr>
                <w:noProof/>
              </w:rPr>
              <w:t>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104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White</w:t>
            </w:r>
            <w:r>
              <w:t xml:space="preserve">, </w:t>
            </w:r>
            <w:r w:rsidRPr="00A6773C">
              <w:rPr>
                <w:noProof/>
              </w:rPr>
              <w:t>2010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105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 et al., 2000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106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Wilfley et al., 2002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>
              <w:t xml:space="preserve">, </w:t>
            </w:r>
            <w:r w:rsidRPr="00A6773C">
              <w:rPr>
                <w:noProof/>
              </w:rPr>
              <w:t>2000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106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 et al., 2000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106</w:t>
            </w:r>
            <w:r w:rsidRPr="00A6773C">
              <w:rPr>
                <w:noProof/>
              </w:rPr>
              <w:t>: NA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Wilfley, et al.,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Pr="00A6773C">
              <w:rPr>
                <w:noProof/>
              </w:rPr>
              <w:t>: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 xml:space="preserve">EDE subscales: 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Dietary restraint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Shape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Weight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Eating concern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Global eating disorder psychopathology at or below a sample of patients who were obese and not bingeing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 et al., 2000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106</w:t>
            </w:r>
            <w:r w:rsidRPr="00A6773C">
              <w:rPr>
                <w:noProof/>
              </w:rPr>
              <w:t>: NA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Wilfley, et al.,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Pr="00A6773C">
              <w:rPr>
                <w:noProof/>
              </w:rPr>
              <w:t>: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 dietary restraint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1.8 (SD 1.2)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2.1 (SD 1.3)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 shape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3.8 (SD 1.0)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3.8 (SD 0.9)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 weight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3.3 (SD 1.1)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3.2 (SD 1.1)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 eating concern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G1: 2.4 (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 et al., 2000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106</w:t>
            </w:r>
            <w:r w:rsidRPr="00A6773C">
              <w:rPr>
                <w:noProof/>
              </w:rPr>
              <w:t>: NA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Wilfley, et al.,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  <w:r w:rsidRPr="00A6773C">
              <w:rPr>
                <w:noProof/>
              </w:rPr>
              <w:t>: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 Dietary restraint 12-month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1.0 (SD 1.1)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1.3 (SD 1.3)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 and G2 stable through 12-month follow-up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 Shape concern 12-month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2.2 (SD 1.3)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2.2 (SD 1.3)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No significant GEE ma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Wilson</w:t>
            </w:r>
            <w:r>
              <w:t>, 201</w:t>
            </w:r>
            <w:r w:rsidRPr="00A6773C">
              <w:rPr>
                <w:noProof/>
              </w:rPr>
              <w:t>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-global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-dietary restraint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-eating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-shape concern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-weight concern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Global EDE score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2.8 (SD 0.8)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2.7 (SD 0.8)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G3: 2.8 (SD 0.7)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EDE-dietary restraint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G3: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EDE-eating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G3: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EDE-shape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G3: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EDE-weight concern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NR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G3: NR</w:t>
            </w:r>
          </w:p>
        </w:tc>
        <w:tc>
          <w:tcPr>
            <w:tcW w:w="3600" w:type="dxa"/>
          </w:tcPr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1y Global EDE score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2.2 (SD 1.0)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1.7 (SD 0.9)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G3: 1.9 (SD 1.0)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Mean change: NR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p=NR, no results are reported for the analysis of 1y EDE global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2y Global EDE score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G1: 2.0 (SD 1.2)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G2: 1.7 (SD 1.0)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G3: 1.7 (SD 1.1)</w:t>
            </w:r>
          </w:p>
          <w:p w:rsidR="00B84EDF" w:rsidRPr="00A6773C" w:rsidRDefault="00B84EDF" w:rsidP="00D26E16">
            <w:pPr>
              <w:pStyle w:val="TableText2"/>
              <w:rPr>
                <w:noProof/>
              </w:rPr>
            </w:pPr>
            <w:r w:rsidRPr="00A6773C">
              <w:rPr>
                <w:noProof/>
              </w:rPr>
              <w:t>Mean change: NR</w:t>
            </w:r>
          </w:p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p=NR, no results</w:t>
            </w:r>
          </w:p>
        </w:tc>
      </w:tr>
    </w:tbl>
    <w:p w:rsidR="00B84EDF" w:rsidRDefault="00B84EDF" w:rsidP="00567ED0"/>
    <w:sectPr w:rsidR="00B84EDF" w:rsidSect="00D84AC4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76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31" w:rsidRDefault="00F84E31" w:rsidP="000F546A">
      <w:r>
        <w:separator/>
      </w:r>
    </w:p>
  </w:endnote>
  <w:endnote w:type="continuationSeparator" w:id="1">
    <w:p w:rsidR="00F84E31" w:rsidRDefault="00F84E31" w:rsidP="000F546A">
      <w:r>
        <w:continuationSeparator/>
      </w:r>
    </w:p>
  </w:endnote>
  <w:endnote w:type="continuationNotice" w:id="2">
    <w:p w:rsidR="00F84E31" w:rsidRDefault="00F84E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D84AC4">
        <w:rPr>
          <w:noProof/>
        </w:rPr>
        <w:t>763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31" w:rsidRDefault="00F84E31" w:rsidP="000F546A">
      <w:r>
        <w:separator/>
      </w:r>
    </w:p>
  </w:footnote>
  <w:footnote w:type="continuationSeparator" w:id="1">
    <w:p w:rsidR="00F84E31" w:rsidRDefault="00F84E31" w:rsidP="000F546A">
      <w:r>
        <w:continuationSeparator/>
      </w:r>
    </w:p>
  </w:footnote>
  <w:footnote w:type="continuationNotice" w:id="2">
    <w:p w:rsidR="00F84E31" w:rsidRDefault="00F84E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07C8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67ED0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AC4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4E31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C4D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2776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2015-12-26T05:48:00Z</dcterms:created>
  <dcterms:modified xsi:type="dcterms:W3CDTF">2015-12-26T08:14:00Z</dcterms:modified>
</cp:coreProperties>
</file>