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E11. Loss of control of eating: Children – Part 11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F31F98" w:rsidRDefault="00B84EDF" w:rsidP="00D26E16">
            <w:pPr>
              <w:pStyle w:val="TableText2"/>
            </w:pPr>
            <w:r w:rsidRPr="00F31F98">
              <w:t>Harms Overall Discontinuation From Study</w:t>
            </w:r>
          </w:p>
        </w:tc>
        <w:tc>
          <w:tcPr>
            <w:tcW w:w="2016" w:type="dxa"/>
          </w:tcPr>
          <w:p w:rsidR="00B84EDF" w:rsidRPr="00F31F98" w:rsidRDefault="00B84EDF" w:rsidP="00D26E16">
            <w:pPr>
              <w:pStyle w:val="TableText2"/>
            </w:pPr>
            <w:r w:rsidRPr="00F31F98">
              <w:t>Discontinuation Due to AEs</w:t>
            </w:r>
          </w:p>
        </w:tc>
        <w:tc>
          <w:tcPr>
            <w:tcW w:w="2016" w:type="dxa"/>
          </w:tcPr>
          <w:p w:rsidR="00B84EDF" w:rsidRPr="00F31F98" w:rsidRDefault="00B84EDF" w:rsidP="00D26E16">
            <w:pPr>
              <w:pStyle w:val="TableText2"/>
            </w:pPr>
            <w:r w:rsidRPr="00F31F98">
              <w:t>Discontinuation Due to Lack of Efficacy</w:t>
            </w:r>
          </w:p>
        </w:tc>
        <w:tc>
          <w:tcPr>
            <w:tcW w:w="2016" w:type="dxa"/>
          </w:tcPr>
          <w:p w:rsidR="00B84EDF" w:rsidRPr="00F31F98" w:rsidRDefault="00B84EDF" w:rsidP="00D26E16">
            <w:pPr>
              <w:pStyle w:val="TableText2"/>
            </w:pPr>
            <w:r w:rsidRPr="00F31F98">
              <w:t>Serious AEs (Define in Addition to Reporting Rates)</w:t>
            </w:r>
          </w:p>
        </w:tc>
        <w:tc>
          <w:tcPr>
            <w:tcW w:w="2016" w:type="dxa"/>
          </w:tcPr>
          <w:p w:rsidR="00B84EDF" w:rsidRPr="00F31F98" w:rsidRDefault="00B84EDF" w:rsidP="00D26E16">
            <w:pPr>
              <w:pStyle w:val="TableText2"/>
            </w:pPr>
            <w:r w:rsidRPr="00F31F98">
              <w:t>Any AE</w:t>
            </w:r>
          </w:p>
        </w:tc>
        <w:tc>
          <w:tcPr>
            <w:tcW w:w="2016" w:type="dxa"/>
          </w:tcPr>
          <w:p w:rsidR="00B84EDF" w:rsidRDefault="00B84EDF" w:rsidP="00D26E16">
            <w:pPr>
              <w:pStyle w:val="TableText2"/>
            </w:pPr>
            <w:r w:rsidRPr="00F31F98">
              <w:t>Diarrhea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Overall: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15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16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 Between-group difference (95% CI):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6 months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NA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 months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None at 6 or 12 months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None at 6 or 12 months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7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 xml:space="preserve">Mean  Between-group difference (95% CI): NR 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C9005C"/>
    <w:sectPr w:rsidR="00B84EDF" w:rsidSect="005457B9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3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01" w:rsidRDefault="00267801" w:rsidP="000F546A">
      <w:r>
        <w:separator/>
      </w:r>
    </w:p>
  </w:endnote>
  <w:endnote w:type="continuationSeparator" w:id="1">
    <w:p w:rsidR="00267801" w:rsidRDefault="00267801" w:rsidP="000F546A">
      <w:r>
        <w:continuationSeparator/>
      </w:r>
    </w:p>
  </w:endnote>
  <w:endnote w:type="continuationNotice" w:id="2">
    <w:p w:rsidR="00267801" w:rsidRDefault="002678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5457B9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01" w:rsidRDefault="00267801" w:rsidP="000F546A">
      <w:r>
        <w:separator/>
      </w:r>
    </w:p>
  </w:footnote>
  <w:footnote w:type="continuationSeparator" w:id="1">
    <w:p w:rsidR="00267801" w:rsidRDefault="00267801" w:rsidP="000F546A">
      <w:r>
        <w:continuationSeparator/>
      </w:r>
    </w:p>
  </w:footnote>
  <w:footnote w:type="continuationNotice" w:id="2">
    <w:p w:rsidR="00267801" w:rsidRDefault="002678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95D8A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39AF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486D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01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57B9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05C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2015-12-26T05:06:00Z</dcterms:created>
  <dcterms:modified xsi:type="dcterms:W3CDTF">2015-12-26T06:18:00Z</dcterms:modified>
</cp:coreProperties>
</file>