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D2362" w14:textId="77777777" w:rsidR="009F3B45" w:rsidRPr="008C66D1" w:rsidRDefault="009F3B45" w:rsidP="009F3B4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Table D-60</w:t>
      </w:r>
      <w:r w:rsidRPr="00E12973">
        <w:rPr>
          <w:rFonts w:ascii="Arial" w:hAnsi="Arial" w:cs="Arial"/>
          <w:b/>
          <w:sz w:val="18"/>
          <w:szCs w:val="18"/>
        </w:rPr>
        <w:t xml:space="preserve">. Evidence table for studies addressing management of </w:t>
      </w:r>
      <w:r w:rsidRPr="008C66D1">
        <w:rPr>
          <w:rFonts w:ascii="Arial" w:hAnsi="Arial" w:cs="Arial"/>
          <w:b/>
          <w:sz w:val="18"/>
          <w:szCs w:val="18"/>
        </w:rPr>
        <w:t>PPH (Chauleur 2008b)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65240F38" w14:textId="77777777" w:rsidTr="009F3B45">
        <w:tc>
          <w:tcPr>
            <w:tcW w:w="1559" w:type="dxa"/>
            <w:shd w:val="clear" w:color="auto" w:fill="auto"/>
            <w:vAlign w:val="bottom"/>
          </w:tcPr>
          <w:p w14:paraId="6A631A8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76FD822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7745EB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58C23F48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2F029130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88A4B9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04BCF77C" w14:textId="77777777" w:rsidTr="009F3B45">
        <w:trPr>
          <w:trHeight w:val="1320"/>
        </w:trPr>
        <w:tc>
          <w:tcPr>
            <w:tcW w:w="1559" w:type="dxa"/>
            <w:shd w:val="clear" w:color="auto" w:fill="auto"/>
          </w:tcPr>
          <w:p w14:paraId="3368B22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287881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Chauleur et al., </w:t>
            </w:r>
          </w:p>
          <w:p w14:paraId="347BBE5B" w14:textId="77777777" w:rsidR="009F3B45" w:rsidRPr="00096082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2008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PEVuZE5vdGU+PENpdGU+PFJlY051bT4zNjQ8L1JlY051bT48RGlzcGxheVRleHQ+PHN0eWxlIGZh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PEVuZE5vdGU+PENpdGU+PFJlY051bT4zNjQ8L1JlY051bT48RGlzcGxheVRleHQ+PHN0eWxlIGZh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61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0A427C2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33A1CEDE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France</w:t>
            </w:r>
          </w:p>
          <w:p w14:paraId="6189E74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027B47D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1996 to 2005</w:t>
            </w:r>
          </w:p>
          <w:p w14:paraId="4E7FFF4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1F70865C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Hospital</w:t>
            </w:r>
          </w:p>
          <w:p w14:paraId="3ADF39C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20B9917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0A0F59B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Tertiary care</w:t>
            </w:r>
          </w:p>
          <w:p w14:paraId="09F11A72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NR</w:t>
            </w:r>
          </w:p>
          <w:p w14:paraId="019048E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1749965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Case series</w:t>
            </w:r>
          </w:p>
          <w:p w14:paraId="7D18777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2EAB237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767CACF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803D7DF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Intervention: </w:t>
            </w:r>
          </w:p>
          <w:p w14:paraId="367D479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Women with a primary PPH resistant to medical treatment who underwent uterine artery embolization or hysterectomy.</w:t>
            </w:r>
          </w:p>
          <w:p w14:paraId="7F2FA9C4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6290BC7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embolization</w:t>
            </w:r>
          </w:p>
          <w:p w14:paraId="659AE9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hysterectomy</w:t>
            </w:r>
          </w:p>
          <w:p w14:paraId="02F291F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G1c: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embolization &amp; hysterectomy</w:t>
            </w:r>
          </w:p>
          <w:p w14:paraId="2ED7860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N: </w:t>
            </w:r>
          </w:p>
          <w:p w14:paraId="1D3DA2B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41</w:t>
            </w:r>
          </w:p>
          <w:p w14:paraId="609763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</w:p>
          <w:p w14:paraId="2AD3E13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G1c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 5</w:t>
            </w:r>
          </w:p>
          <w:p w14:paraId="1D7484AE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A12BE70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5C207D2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656DBF9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Length of follow-up:</w:t>
            </w:r>
          </w:p>
          <w:p w14:paraId="3E5C0B2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NR, follow-up interview in 2007</w:t>
            </w:r>
          </w:p>
          <w:p w14:paraId="6C2598D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590" w:type="dxa"/>
            <w:shd w:val="clear" w:color="auto" w:fill="auto"/>
          </w:tcPr>
          <w:p w14:paraId="79651B43" w14:textId="77777777" w:rsidR="009F3B45" w:rsidRPr="00E12973" w:rsidRDefault="009F3B45" w:rsidP="009F3B45">
            <w:pPr>
              <w:pStyle w:val="Tabletext0"/>
              <w:rPr>
                <w:rFonts w:cs="Arial"/>
                <w:b/>
              </w:rPr>
            </w:pPr>
            <w:r w:rsidRPr="00E12973">
              <w:rPr>
                <w:rFonts w:cs="Arial"/>
                <w:b/>
              </w:rPr>
              <w:t xml:space="preserve">Operational definition of PPH: </w:t>
            </w:r>
          </w:p>
          <w:p w14:paraId="36D3CB28" w14:textId="77777777" w:rsidR="009F3B45" w:rsidRPr="00E12973" w:rsidRDefault="009F3B45" w:rsidP="009F3B45">
            <w:pPr>
              <w:pStyle w:val="Tabletext0"/>
              <w:rPr>
                <w:rFonts w:cs="Arial"/>
              </w:rPr>
            </w:pPr>
            <w:r w:rsidRPr="00E12973">
              <w:rPr>
                <w:rFonts w:cs="Arial"/>
              </w:rPr>
              <w:t>Greater than 500 mL</w:t>
            </w:r>
          </w:p>
          <w:p w14:paraId="76259412" w14:textId="77777777" w:rsidR="009F3B45" w:rsidRPr="00E12973" w:rsidRDefault="009F3B45" w:rsidP="009F3B45">
            <w:pPr>
              <w:pStyle w:val="Tabletext0"/>
              <w:rPr>
                <w:rFonts w:cs="Arial"/>
              </w:rPr>
            </w:pPr>
          </w:p>
          <w:p w14:paraId="1AAE6EE0" w14:textId="77777777" w:rsidR="009F3B45" w:rsidRPr="00E12973" w:rsidRDefault="009F3B45" w:rsidP="009F3B45">
            <w:pPr>
              <w:pStyle w:val="Tabletext0"/>
              <w:rPr>
                <w:rFonts w:cs="Arial"/>
              </w:rPr>
            </w:pPr>
            <w:r w:rsidRPr="00E12973">
              <w:rPr>
                <w:rFonts w:cs="Arial"/>
                <w:b/>
              </w:rPr>
              <w:t>Definition of success of treatment</w:t>
            </w:r>
            <w:r w:rsidRPr="00E12973">
              <w:rPr>
                <w:rFonts w:cs="Arial"/>
              </w:rPr>
              <w:t>: cessation of external bleeding</w:t>
            </w:r>
          </w:p>
          <w:p w14:paraId="30E05647" w14:textId="77777777" w:rsidR="009F3B45" w:rsidRPr="00E12973" w:rsidRDefault="009F3B45" w:rsidP="009F3B45">
            <w:pPr>
              <w:pStyle w:val="Tabletext0"/>
              <w:rPr>
                <w:rFonts w:cs="Arial"/>
              </w:rPr>
            </w:pPr>
          </w:p>
          <w:p w14:paraId="295A9F89" w14:textId="77777777" w:rsidR="009F3B45" w:rsidRPr="00E12973" w:rsidRDefault="009F3B45" w:rsidP="009F3B45">
            <w:pPr>
              <w:pStyle w:val="Tabletext0"/>
              <w:rPr>
                <w:rFonts w:cs="Arial"/>
                <w:b/>
              </w:rPr>
            </w:pPr>
            <w:r w:rsidRPr="00E12973">
              <w:rPr>
                <w:rFonts w:cs="Arial"/>
                <w:b/>
              </w:rPr>
              <w:t xml:space="preserve">Method of blood loss measurement: </w:t>
            </w:r>
            <w:r w:rsidRPr="00E12973">
              <w:rPr>
                <w:rFonts w:cs="Arial"/>
              </w:rPr>
              <w:t>collecting bag</w:t>
            </w:r>
          </w:p>
          <w:p w14:paraId="14A71806" w14:textId="77777777" w:rsidR="009F3B45" w:rsidRPr="00E12973" w:rsidRDefault="009F3B45" w:rsidP="009F3B45">
            <w:pPr>
              <w:pStyle w:val="Tabletext0"/>
              <w:rPr>
                <w:rFonts w:cs="Arial"/>
              </w:rPr>
            </w:pPr>
          </w:p>
          <w:p w14:paraId="69515C11" w14:textId="77777777" w:rsidR="009F3B45" w:rsidRPr="00E12973" w:rsidRDefault="009F3B45" w:rsidP="009F3B45">
            <w:pPr>
              <w:pStyle w:val="Tabletext0"/>
              <w:rPr>
                <w:rFonts w:cs="Arial"/>
                <w:b/>
              </w:rPr>
            </w:pPr>
            <w:r w:rsidRPr="00E12973">
              <w:rPr>
                <w:rFonts w:cs="Arial"/>
                <w:b/>
              </w:rPr>
              <w:t>Severity: NR</w:t>
            </w:r>
          </w:p>
          <w:p w14:paraId="7145F9B9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</w:rPr>
            </w:pPr>
            <w:r w:rsidRPr="00E12973">
              <w:rPr>
                <w:rFonts w:ascii="Arial" w:hAnsi="Arial" w:cs="Arial"/>
              </w:rPr>
              <w:t xml:space="preserve">Inclusion criteria: </w:t>
            </w:r>
          </w:p>
          <w:p w14:paraId="248A3096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szCs w:val="18"/>
              </w:rPr>
            </w:pPr>
            <w:r w:rsidRPr="00E12973">
              <w:rPr>
                <w:rFonts w:cs="Arial"/>
                <w:szCs w:val="18"/>
              </w:rPr>
              <w:t>Women with a primary PPH resistant to medical treatment who underwent uterine artery embolization or hysterectomy</w:t>
            </w:r>
          </w:p>
          <w:p w14:paraId="6476A010" w14:textId="77777777" w:rsidR="009F3B45" w:rsidRPr="007D6524" w:rsidRDefault="009F3B45" w:rsidP="009F3B45">
            <w:pPr>
              <w:pStyle w:val="TableTextBold"/>
              <w:rPr>
                <w:rFonts w:cs="Arial"/>
                <w:b w:val="0"/>
              </w:rPr>
            </w:pPr>
            <w:r w:rsidRPr="00E12973">
              <w:rPr>
                <w:rFonts w:ascii="Arial" w:hAnsi="Arial" w:cs="Arial"/>
              </w:rPr>
              <w:t xml:space="preserve">Exclusion criteria: </w:t>
            </w:r>
            <w:r>
              <w:rPr>
                <w:rFonts w:ascii="Arial" w:hAnsi="Arial" w:cs="Arial"/>
                <w:b w:val="0"/>
              </w:rPr>
              <w:t>NR</w:t>
            </w:r>
          </w:p>
          <w:p w14:paraId="35E78125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Maternal age, yrs, median (range): </w:t>
            </w:r>
          </w:p>
          <w:p w14:paraId="0D524189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Overall: </w:t>
            </w:r>
            <w:r w:rsidRPr="00E12973">
              <w:rPr>
                <w:rFonts w:ascii="Arial" w:hAnsi="Arial" w:cs="Arial"/>
                <w:sz w:val="18"/>
                <w:szCs w:val="18"/>
              </w:rPr>
              <w:t>27.3 (19-41)</w:t>
            </w:r>
          </w:p>
          <w:p w14:paraId="27A8D72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29.2 ± 4.65</w:t>
            </w:r>
          </w:p>
          <w:p w14:paraId="13519C80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G1b: </w:t>
            </w:r>
            <w:r w:rsidRPr="00E12973">
              <w:rPr>
                <w:rFonts w:ascii="Arial" w:hAnsi="Arial" w:cs="Arial"/>
                <w:sz w:val="18"/>
                <w:szCs w:val="18"/>
              </w:rPr>
              <w:t>30.1 ± 4.11</w:t>
            </w:r>
          </w:p>
          <w:p w14:paraId="3CEDA4F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36.6 ± 4.56</w:t>
            </w:r>
          </w:p>
          <w:p w14:paraId="03DEF9C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21949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Parity, n (%): </w:t>
            </w:r>
          </w:p>
          <w:p w14:paraId="4F4E7FB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Primiparous</w:t>
            </w:r>
          </w:p>
          <w:p w14:paraId="1187141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9 (21.9)</w:t>
            </w:r>
          </w:p>
          <w:p w14:paraId="061A39B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(33)</w:t>
            </w:r>
          </w:p>
          <w:p w14:paraId="3725751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309584F" w14:textId="77777777" w:rsidR="009F3B45" w:rsidRPr="007D6524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7D6524">
              <w:rPr>
                <w:rFonts w:ascii="Arial" w:hAnsi="Arial" w:cs="Arial"/>
                <w:sz w:val="18"/>
                <w:szCs w:val="18"/>
              </w:rPr>
              <w:t>Multiparous</w:t>
            </w:r>
          </w:p>
          <w:p w14:paraId="088D929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32 (78)</w:t>
            </w:r>
          </w:p>
          <w:p w14:paraId="3A3D4DB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 (66)</w:t>
            </w:r>
          </w:p>
          <w:p w14:paraId="5CDA914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</w:t>
            </w:r>
            <w:r w:rsidRPr="00E12973">
              <w:rPr>
                <w:rFonts w:ascii="Arial" w:hAnsi="Arial" w:cs="Arial"/>
                <w:sz w:val="18"/>
                <w:szCs w:val="18"/>
              </w:rPr>
              <w:t>: 5 (100)</w:t>
            </w:r>
          </w:p>
          <w:p w14:paraId="48038AE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3EE3F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Weeks gestation: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B07C12E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8AB077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Single pregnancy, n:</w:t>
            </w:r>
          </w:p>
          <w:p w14:paraId="3AA0AC4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36</w:t>
            </w:r>
          </w:p>
          <w:p w14:paraId="40FD307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Multiple pregnancy, n:</w:t>
            </w:r>
          </w:p>
          <w:p w14:paraId="4C3888C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  <w:p w14:paraId="2FE38AA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4A7B56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0F6A7035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5F4C31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FFAAA5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65FB2B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9614F99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25379C8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C3810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Mode of birth, n (%): </w:t>
            </w:r>
          </w:p>
          <w:p w14:paraId="757F9BE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Unassisted vaginal delivery</w:t>
            </w:r>
          </w:p>
          <w:p w14:paraId="3B8D8BF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9 (21.9)</w:t>
            </w:r>
          </w:p>
          <w:p w14:paraId="403F7DD7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(33)</w:t>
            </w:r>
          </w:p>
          <w:p w14:paraId="5ECB654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</w:t>
            </w:r>
            <w:r w:rsidRPr="00E12973">
              <w:rPr>
                <w:rFonts w:ascii="Arial" w:hAnsi="Arial" w:cs="Arial"/>
                <w:sz w:val="18"/>
                <w:szCs w:val="18"/>
              </w:rPr>
              <w:t>: 0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BF9ACF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Instrumental vaginal</w:t>
            </w:r>
          </w:p>
          <w:p w14:paraId="746D347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2(4.8)</w:t>
            </w:r>
          </w:p>
          <w:p w14:paraId="1C8327B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14:paraId="6E97EAB3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G1c</w:t>
            </w:r>
            <w:r w:rsidRPr="00E12973">
              <w:rPr>
                <w:rFonts w:ascii="Arial" w:hAnsi="Arial" w:cs="Arial"/>
                <w:sz w:val="18"/>
                <w:szCs w:val="18"/>
              </w:rPr>
              <w:t>: 0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513D6F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Cesarean</w:t>
            </w:r>
          </w:p>
          <w:p w14:paraId="752A2721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30 (73.1)</w:t>
            </w:r>
          </w:p>
          <w:p w14:paraId="6D2C0AAE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G1b: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 (66)</w:t>
            </w:r>
          </w:p>
          <w:p w14:paraId="4DA2B26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G1c: </w:t>
            </w:r>
            <w:r w:rsidRPr="00E12973">
              <w:rPr>
                <w:rFonts w:ascii="Arial" w:hAnsi="Arial" w:cs="Arial"/>
                <w:sz w:val="18"/>
                <w:szCs w:val="18"/>
              </w:rPr>
              <w:t>5 (100)</w:t>
            </w:r>
          </w:p>
          <w:p w14:paraId="75A37A6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Risk factors, n (%):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B9C935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D7873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Primary etiology of PPH, n (%):  </w:t>
            </w:r>
          </w:p>
          <w:p w14:paraId="4592B9AE" w14:textId="77777777" w:rsidR="009F3B45" w:rsidRPr="00096082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t>Atony</w:t>
            </w:r>
          </w:p>
          <w:p w14:paraId="28EA2340" w14:textId="77777777" w:rsidR="009F3B45" w:rsidRPr="00096082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G1a: </w:t>
            </w: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t>32 (69.5)</w:t>
            </w: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</w:p>
          <w:p w14:paraId="39571C53" w14:textId="77777777" w:rsidR="009F3B45" w:rsidRPr="00096082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t>Placenta accreta or percreta</w:t>
            </w:r>
          </w:p>
          <w:p w14:paraId="5DE68054" w14:textId="77777777" w:rsidR="009F3B45" w:rsidRPr="00096082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G1a: </w:t>
            </w: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t>8 (17.3)</w:t>
            </w: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br/>
            </w:r>
          </w:p>
          <w:p w14:paraId="6ED61119" w14:textId="77777777" w:rsidR="009F3B45" w:rsidRPr="00096082" w:rsidRDefault="009F3B45" w:rsidP="009F3B4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96082">
              <w:rPr>
                <w:rFonts w:ascii="Arial" w:hAnsi="Arial" w:cs="Arial"/>
                <w:sz w:val="18"/>
                <w:szCs w:val="18"/>
                <w:lang w:val="it-IT"/>
              </w:rPr>
              <w:t>Placenta previa</w:t>
            </w:r>
          </w:p>
          <w:p w14:paraId="255ACC3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3 (6.5)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759359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Placental abruption</w:t>
            </w:r>
          </w:p>
          <w:p w14:paraId="246ACDD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 (2)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  <w:t>Myoma and atony</w:t>
            </w:r>
          </w:p>
          <w:p w14:paraId="3068342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 (2)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8A4D39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Parametrical dissecting hematoma</w:t>
            </w:r>
          </w:p>
          <w:p w14:paraId="56554BFF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 (2)</w:t>
            </w:r>
          </w:p>
          <w:p w14:paraId="21516C2D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AFBB7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Time between delivery &amp; procedure, min (range)</w:t>
            </w:r>
          </w:p>
          <w:p w14:paraId="2FB771C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263 (90-750)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70" w:type="dxa"/>
            <w:shd w:val="clear" w:color="auto" w:fill="auto"/>
          </w:tcPr>
          <w:p w14:paraId="2B9516A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Mortality: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 (treated with in situ methotrexate and died 4 months after embolization due to methotrexate-related nephrotoxicity</w:t>
            </w:r>
          </w:p>
          <w:p w14:paraId="11927DA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BEA3A1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</w:p>
          <w:p w14:paraId="23C4665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Embolization successful, n (%)</w:t>
            </w:r>
          </w:p>
          <w:p w14:paraId="40960DF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41/46 (89.1)</w:t>
            </w:r>
          </w:p>
          <w:p w14:paraId="57A27CB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Five patients underwent additional procedures</w:t>
            </w:r>
          </w:p>
          <w:p w14:paraId="0F977D55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FDB3A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1. parametrical dissecting hematoma, embolization completed by the insertion of a coil into the R uterine artery (G1c)</w:t>
            </w:r>
          </w:p>
          <w:p w14:paraId="127A268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2. Ovarian artery embolization</w:t>
            </w:r>
          </w:p>
          <w:p w14:paraId="7323BB96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3. Hypogastric artery catheterized &amp; embolization performed beyond the gluteal artery.</w:t>
            </w:r>
          </w:p>
          <w:p w14:paraId="3CE06772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4. Superselective embolization of the internal iliac artery branch</w:t>
            </w:r>
          </w:p>
          <w:p w14:paraId="07ED674B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5. Embolization performed after ligation of hypogastric arteries (embolization of the residual stump of hypogastric artery &amp; anastomatic pelvic trats).</w:t>
            </w:r>
          </w:p>
          <w:p w14:paraId="39A06AC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D5FE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9C44A2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Future fertility (data for 37/41)</w:t>
            </w:r>
          </w:p>
          <w:p w14:paraId="1A5D86F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No wish for further children: 16</w:t>
            </w:r>
          </w:p>
          <w:p w14:paraId="110FB8E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No present wish for another child: 5</w:t>
            </w:r>
          </w:p>
          <w:p w14:paraId="2335437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Wanted another child: 16 (39%)</w:t>
            </w:r>
          </w:p>
          <w:p w14:paraId="4D6A2C5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Became pregnant within 1-11 months: 16/16 (100%)</w:t>
            </w:r>
          </w:p>
          <w:p w14:paraId="7D34901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Return of normal menses</w:t>
            </w:r>
          </w:p>
          <w:p w14:paraId="6489F92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41 (100%)</w:t>
            </w:r>
          </w:p>
          <w:p w14:paraId="1C27819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More than 1 pregnancy after embolization: 6</w:t>
            </w:r>
          </w:p>
          <w:p w14:paraId="32A266F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Repeat PPH - 1</w:t>
            </w:r>
          </w:p>
          <w:p w14:paraId="1B5458D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intervention:</w:t>
            </w:r>
          </w:p>
          <w:p w14:paraId="0DE1CEEF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Allergy to iodine, 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ACC6697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Acute pulmonary edema, 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E88786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Cardiovascular instability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4812266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Major hemoperitoneum related to dissection of epigastric art</w:t>
            </w:r>
            <w:r>
              <w:rPr>
                <w:rFonts w:ascii="Arial" w:hAnsi="Arial" w:cs="Arial"/>
                <w:sz w:val="18"/>
                <w:szCs w:val="18"/>
              </w:rPr>
              <w:t>ery (re-operated 4 times), 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G1a: </w:t>
            </w:r>
            <w:r w:rsidRPr="00E1297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911886E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14:paraId="30ABDAF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14:paraId="4BFB60D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05BED34D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06F0099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 </w:t>
      </w:r>
    </w:p>
    <w:sectPr w:rsidR="009F3B45" w:rsidRPr="00E12973" w:rsidSect="000B2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pgNumType w:start="18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59109" w14:textId="77777777" w:rsidR="003E708F" w:rsidRDefault="003E708F">
      <w:r>
        <w:separator/>
      </w:r>
    </w:p>
  </w:endnote>
  <w:endnote w:type="continuationSeparator" w:id="0">
    <w:p w14:paraId="65E1DA03" w14:textId="77777777" w:rsidR="003E708F" w:rsidRDefault="003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A38C" w14:textId="77777777" w:rsidR="000B2B48" w:rsidRDefault="000B2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7CE7FBD5" w14:textId="188BB3EB" w:rsidR="00F822E3" w:rsidRDefault="000B2B48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184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D530" w14:textId="77777777" w:rsidR="000B2B48" w:rsidRDefault="000B2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5B8E9" w14:textId="77777777" w:rsidR="003E708F" w:rsidRDefault="003E708F">
      <w:r>
        <w:separator/>
      </w:r>
    </w:p>
  </w:footnote>
  <w:footnote w:type="continuationSeparator" w:id="0">
    <w:p w14:paraId="24837A7B" w14:textId="77777777" w:rsidR="003E708F" w:rsidRDefault="003E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068D" w14:textId="77777777" w:rsidR="000B2B48" w:rsidRDefault="000B2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F2EE" w14:textId="77777777" w:rsidR="000B2B48" w:rsidRDefault="000B2B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9127" w14:textId="77777777" w:rsidR="000B2B48" w:rsidRDefault="000B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96082"/>
    <w:rsid w:val="000A02AD"/>
    <w:rsid w:val="000A51E1"/>
    <w:rsid w:val="000A62F6"/>
    <w:rsid w:val="000A78A8"/>
    <w:rsid w:val="000B0305"/>
    <w:rsid w:val="000B08A0"/>
    <w:rsid w:val="000B2B48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08F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3685B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17EA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0998-AA0C-4AF2-84F4-E80D6F69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2743</Characters>
  <Application>Microsoft Office Word</Application>
  <DocSecurity>0</DocSecurity>
  <Lines>114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5</cp:revision>
  <cp:lastPrinted>2015-04-23T18:16:00Z</cp:lastPrinted>
  <dcterms:created xsi:type="dcterms:W3CDTF">2015-04-24T16:14:00Z</dcterms:created>
  <dcterms:modified xsi:type="dcterms:W3CDTF">2015-05-08T11:28:00Z</dcterms:modified>
</cp:coreProperties>
</file>