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8DE21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b w:val="0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szCs w:val="18"/>
        </w:rPr>
        <w:t>Table D-49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(Hardeman 2010)</w:t>
      </w:r>
    </w:p>
    <w:tbl>
      <w:tblPr>
        <w:tblW w:w="1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60"/>
        <w:gridCol w:w="3060"/>
        <w:gridCol w:w="4590"/>
        <w:gridCol w:w="3870"/>
      </w:tblGrid>
      <w:tr w:rsidR="009F3B45" w:rsidRPr="00E12973" w14:paraId="18AD779B" w14:textId="77777777" w:rsidTr="009F3B45">
        <w:trPr>
          <w:tblHeader/>
        </w:trPr>
        <w:tc>
          <w:tcPr>
            <w:tcW w:w="1559" w:type="dxa"/>
            <w:vAlign w:val="bottom"/>
          </w:tcPr>
          <w:p w14:paraId="7EBE6F0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6AB7487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bCs/>
                <w:color w:val="000000"/>
              </w:rPr>
              <w:t>Description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1464227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vAlign w:val="bottom"/>
            <w:hideMark/>
          </w:tcPr>
          <w:p w14:paraId="608A5D1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3722D20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vAlign w:val="center"/>
            <w:hideMark/>
          </w:tcPr>
          <w:p w14:paraId="4DDFAAE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428365FE" w14:textId="77777777" w:rsidTr="009F3B45">
        <w:trPr>
          <w:trHeight w:val="63"/>
        </w:trPr>
        <w:tc>
          <w:tcPr>
            <w:tcW w:w="1559" w:type="dxa"/>
          </w:tcPr>
          <w:p w14:paraId="51D2348C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0836C464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Hardeman et al., </w:t>
            </w:r>
          </w:p>
          <w:p w14:paraId="3818E886" w14:textId="77777777" w:rsidR="009F3B45" w:rsidRPr="00D14BEB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2010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PEVuZE5vdGU+PENpdGU+PFJlY051bT4xMDc1NTwvUmVjTnVtPjxEaXNwbGF5VGV4dD48c3R5bGUg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PEVuZE5vdGU+PENpdGU+PFJlY051bT4xMDc1NTwvUmVjTnVtPjxEaXNwbGF5VGV4dD48c3R5bGUg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50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2E9D3F5D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</w:p>
          <w:p w14:paraId="61948EBA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1B345B67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France</w:t>
            </w:r>
            <w:r w:rsidRPr="00E12973">
              <w:rPr>
                <w:rFonts w:cs="Arial"/>
                <w:color w:val="000000"/>
              </w:rPr>
              <w:br/>
            </w:r>
          </w:p>
          <w:p w14:paraId="42A32C20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08E099D3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October 2000 to August 2006</w:t>
            </w:r>
            <w:r w:rsidRPr="00E12973">
              <w:rPr>
                <w:rFonts w:cs="Arial"/>
                <w:color w:val="000000"/>
              </w:rPr>
              <w:br/>
            </w:r>
          </w:p>
          <w:p w14:paraId="2B79F11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0022FD77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5962663E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2EF93237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29083A1B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Tertiary care</w:t>
            </w:r>
          </w:p>
          <w:p w14:paraId="3BA9D44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7D41AA04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5B244FD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 (Authors report nothing to disclose)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B16E237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57F110ED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Case-control</w:t>
            </w:r>
          </w:p>
          <w:p w14:paraId="56232FBC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1EEB1EC2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3D07BBB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6CB82627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6F9C907D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Embolization of uterine arteries</w:t>
            </w:r>
            <w:r w:rsidRPr="00E12973">
              <w:rPr>
                <w:rFonts w:cs="Arial"/>
                <w:color w:val="000000"/>
              </w:rPr>
              <w:br/>
            </w:r>
          </w:p>
          <w:p w14:paraId="6460020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523A685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Embolization</w:t>
            </w:r>
          </w:p>
          <w:p w14:paraId="25C1820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BA56D9B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646A95D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53</w:t>
            </w:r>
          </w:p>
          <w:p w14:paraId="680364B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106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53AE9B6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follow-up: </w:t>
            </w:r>
          </w:p>
          <w:p w14:paraId="2024DE4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53</w:t>
            </w:r>
          </w:p>
          <w:p w14:paraId="417050F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106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CDEE149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color w:val="000000"/>
              </w:rPr>
              <w:br/>
            </w:r>
          </w:p>
          <w:p w14:paraId="5D7560EB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NR </w:t>
            </w:r>
            <w:r w:rsidRPr="00E12973">
              <w:rPr>
                <w:rFonts w:ascii="Arial" w:hAnsi="Arial" w:cs="Arial"/>
                <w:color w:val="000000"/>
              </w:rPr>
              <w:br/>
            </w:r>
          </w:p>
          <w:p w14:paraId="7B14086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color w:val="000000"/>
              </w:rPr>
              <w:br/>
            </w:r>
          </w:p>
          <w:p w14:paraId="4A948E33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Length of follow-up:</w:t>
            </w:r>
          </w:p>
          <w:p w14:paraId="4020086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Maximal months, n</w:t>
            </w:r>
          </w:p>
          <w:p w14:paraId="27EE408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82</w:t>
            </w:r>
          </w:p>
          <w:p w14:paraId="7A2DC22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83</w:t>
            </w:r>
          </w:p>
          <w:p w14:paraId="487EF0FE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48F02667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</w:tcPr>
          <w:p w14:paraId="3FFE06FF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0F5F4CB7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</w:p>
          <w:p w14:paraId="560EC76B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>: NR</w:t>
            </w:r>
          </w:p>
          <w:p w14:paraId="100543E4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</w:p>
          <w:p w14:paraId="350A4A82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66D93E68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</w:p>
          <w:p w14:paraId="373C0C2D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  <w:r w:rsidRPr="00E12973">
              <w:rPr>
                <w:rFonts w:cs="Arial"/>
                <w:b/>
                <w:color w:val="000000"/>
              </w:rPr>
              <w:br/>
            </w:r>
          </w:p>
          <w:p w14:paraId="15ABDF82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7DAA4ACD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spacing w:line="276" w:lineRule="auto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Cases: women who underwent embolization and responded to follow-up questionnaire</w:t>
            </w:r>
          </w:p>
          <w:p w14:paraId="09048CBE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spacing w:line="276" w:lineRule="auto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Controls: women who had never undergone embolization, matched by date of delivery, age, parity, total number of pregnancies, spontaneous vs fertility-assisted pregnancy, and mode of delivery</w:t>
            </w:r>
            <w:r w:rsidRPr="00E12973">
              <w:rPr>
                <w:rFonts w:cs="Arial"/>
                <w:color w:val="000000"/>
                <w:szCs w:val="18"/>
              </w:rPr>
              <w:br/>
            </w:r>
          </w:p>
          <w:p w14:paraId="0E9808A7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  <w:r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cs="Arial"/>
                <w:color w:val="000000"/>
              </w:rPr>
              <w:br/>
            </w:r>
          </w:p>
          <w:p w14:paraId="7990A7E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(range):</w:t>
            </w:r>
          </w:p>
          <w:p w14:paraId="3D868D2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34.3 (19-44) </w:t>
            </w:r>
          </w:p>
          <w:p w14:paraId="6DE2069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3234DC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mean (range): </w:t>
            </w:r>
          </w:p>
          <w:p w14:paraId="4C6CC33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2.02 (1-8)</w:t>
            </w:r>
          </w:p>
          <w:p w14:paraId="0389AD4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53C8911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742B6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proofErr w:type="gram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gestation, n (%): </w:t>
            </w:r>
          </w:p>
          <w:p w14:paraId="13B2D44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≥ 37 weeks</w:t>
            </w:r>
          </w:p>
          <w:p w14:paraId="4E86A64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43 (81.1)</w:t>
            </w:r>
          </w:p>
          <w:p w14:paraId="1EA5964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183339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32-37 weeks</w:t>
            </w:r>
          </w:p>
          <w:p w14:paraId="315F86E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 (13.2)</w:t>
            </w:r>
          </w:p>
          <w:p w14:paraId="38C7B56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6086BD3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165C9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28-32 weeks</w:t>
            </w:r>
          </w:p>
          <w:p w14:paraId="70EB1D1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(3.8)</w:t>
            </w:r>
          </w:p>
          <w:p w14:paraId="06C7EE7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3F13654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≤ 28 weeks</w:t>
            </w:r>
          </w:p>
          <w:p w14:paraId="6620404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(1.9)</w:t>
            </w:r>
          </w:p>
          <w:p w14:paraId="7E4F09E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G2: NR</w:t>
            </w:r>
          </w:p>
          <w:p w14:paraId="393BFDD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D871FC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Single pregnancy, n (%):</w:t>
            </w:r>
          </w:p>
          <w:p w14:paraId="53DA6E2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48 (91)</w:t>
            </w:r>
          </w:p>
          <w:p w14:paraId="7DC1BB9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0C468AB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454A4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</w:t>
            </w:r>
            <w:proofErr w:type="gram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pregnancy</w:t>
            </w:r>
            <w:proofErr w:type="gram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n (%):</w:t>
            </w:r>
          </w:p>
          <w:p w14:paraId="42405D6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(9)</w:t>
            </w:r>
          </w:p>
          <w:p w14:paraId="3A4C857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24AA38B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14FC88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CCCFEB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F55AA1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46B4A3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30ADE3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2FCEE8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C5884F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F2E21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02D8295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Vaginal </w:t>
            </w:r>
          </w:p>
          <w:p w14:paraId="39B746E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29 (54)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728B4C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7FAC66D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25 (46)</w:t>
            </w:r>
          </w:p>
          <w:p w14:paraId="13F1846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370E52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D1376B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BEF04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Primary etiology of PPH, n (%):  </w:t>
            </w:r>
          </w:p>
          <w:p w14:paraId="3E148F7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</w:p>
          <w:p w14:paraId="35CF85A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43 (81.1)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546C92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Placenta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accreta</w:t>
            </w:r>
            <w:proofErr w:type="spellEnd"/>
          </w:p>
          <w:p w14:paraId="379EEE0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(9.4)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71F345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Thrombus</w:t>
            </w:r>
          </w:p>
          <w:p w14:paraId="3327388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(3.8)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2B188B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Vascular damage</w:t>
            </w:r>
          </w:p>
          <w:p w14:paraId="6FD681E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(5.7)</w:t>
            </w:r>
          </w:p>
        </w:tc>
        <w:tc>
          <w:tcPr>
            <w:tcW w:w="3870" w:type="dxa"/>
          </w:tcPr>
          <w:p w14:paraId="1341BE2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C28C31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2D1634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Transfusion: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55D9B84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1C7EC1A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45D7D8F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4AA750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1A57B74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21FDC3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B4F07C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1E9940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8E01E9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90174A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7E5B5B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1278EF0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</w:p>
          <w:p w14:paraId="4477505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Desire to become pregnant</w:t>
            </w:r>
          </w:p>
          <w:p w14:paraId="3052D1A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 (26.4) (text reports n=17 but three were still using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o.c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. due to fear of another hemorrhage)</w:t>
            </w:r>
          </w:p>
          <w:p w14:paraId="7442EE8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46C4B31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17465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Occurrence of pregnancy</w:t>
            </w:r>
          </w:p>
          <w:p w14:paraId="2EF10D1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12/14</w:t>
            </w:r>
          </w:p>
          <w:p w14:paraId="708FA3F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37/denominator not clear</w:t>
            </w:r>
          </w:p>
          <w:p w14:paraId="51911FB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 vs 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p=0.17</w:t>
            </w:r>
          </w:p>
          <w:p w14:paraId="477A1D6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2C79AB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E8645B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02CD63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322F54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 of intervention: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28F4B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Total complications (n=53)</w:t>
            </w:r>
          </w:p>
          <w:p w14:paraId="114112B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19 (35.9)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8778EB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Pain and fever</w:t>
            </w:r>
          </w:p>
          <w:p w14:paraId="6DA99CBF" w14:textId="77777777" w:rsidR="009F3B45" w:rsidRPr="00D14BEB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14BEB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D14BE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16 (30.2)</w:t>
            </w:r>
            <w:r w:rsidRPr="00D14BE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1EEF4F0A" w14:textId="77777777" w:rsidR="009F3B45" w:rsidRPr="00D14BEB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14BE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Hematoma/inguinal pain</w:t>
            </w:r>
          </w:p>
          <w:p w14:paraId="5DB7EBA7" w14:textId="77777777" w:rsidR="009F3B45" w:rsidRPr="00D14BEB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14BEB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D14BE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3 (5.7)</w:t>
            </w:r>
          </w:p>
          <w:p w14:paraId="73D8484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Menstrual cycles (n=53)</w:t>
            </w:r>
          </w:p>
          <w:p w14:paraId="4B5980C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Normal/unchanged</w:t>
            </w:r>
          </w:p>
          <w:p w14:paraId="43ADC93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40 (75.5)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D0D90BB" w14:textId="77777777" w:rsidR="009F3B45" w:rsidRPr="00D14BEB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14BE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Metrorrhagia</w:t>
            </w:r>
          </w:p>
          <w:p w14:paraId="0C764DE6" w14:textId="77777777" w:rsidR="009F3B45" w:rsidRPr="00D14BEB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14BEB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D14BE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2 (3.8)</w:t>
            </w:r>
            <w:r w:rsidRPr="00D14BE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31971CB0" w14:textId="77777777" w:rsidR="009F3B45" w:rsidRPr="00D14BEB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14BE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Secondary amenorrhea</w:t>
            </w:r>
          </w:p>
          <w:p w14:paraId="0D346541" w14:textId="77777777" w:rsidR="009F3B45" w:rsidRPr="00D14BEB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D14BEB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D14BE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11 (20.7)</w:t>
            </w:r>
            <w:r w:rsidRPr="00D14BE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2E1D35D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Absence due to contraception</w:t>
            </w:r>
          </w:p>
          <w:p w14:paraId="31A87BE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8/11 (15.1)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7A57F1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Absence due to embolization</w:t>
            </w:r>
          </w:p>
          <w:p w14:paraId="1308939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3/11 (5.6%) </w:t>
            </w:r>
          </w:p>
          <w:p w14:paraId="4B127DE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4679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FB7354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14:paraId="45EC9784" w14:textId="5BADB6F8" w:rsidR="009F3B45" w:rsidRPr="00E12973" w:rsidRDefault="009F3B45" w:rsidP="00D14BE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sectPr w:rsidR="009F3B45" w:rsidRPr="00E12973" w:rsidSect="007F4C83">
      <w:footerReference w:type="default" r:id="rId9"/>
      <w:pgSz w:w="15840" w:h="12240" w:orient="landscape"/>
      <w:pgMar w:top="1800" w:right="1440" w:bottom="1800" w:left="1440" w:header="720" w:footer="720" w:gutter="0"/>
      <w:pgNumType w:start="15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07418" w14:textId="77777777" w:rsidR="00FF0973" w:rsidRDefault="00FF0973">
      <w:r>
        <w:separator/>
      </w:r>
    </w:p>
  </w:endnote>
  <w:endnote w:type="continuationSeparator" w:id="0">
    <w:p w14:paraId="75301095" w14:textId="77777777" w:rsidR="00FF0973" w:rsidRDefault="00FF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75C8B74F" w:rsidR="00F822E3" w:rsidRDefault="007F4C83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152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0550D" w14:textId="77777777" w:rsidR="00FF0973" w:rsidRDefault="00FF0973">
      <w:r>
        <w:separator/>
      </w:r>
    </w:p>
  </w:footnote>
  <w:footnote w:type="continuationSeparator" w:id="0">
    <w:p w14:paraId="33208345" w14:textId="77777777" w:rsidR="00FF0973" w:rsidRDefault="00FF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4C83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4BEB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0973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1034-5D33-4343-84F3-52E0011F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4</cp:revision>
  <cp:lastPrinted>2015-04-23T18:16:00Z</cp:lastPrinted>
  <dcterms:created xsi:type="dcterms:W3CDTF">2015-04-24T16:14:00Z</dcterms:created>
  <dcterms:modified xsi:type="dcterms:W3CDTF">2015-05-08T10:22:00Z</dcterms:modified>
</cp:coreProperties>
</file>