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25" w:rsidRPr="0011597C" w:rsidRDefault="00623B25" w:rsidP="00623B25">
      <w:pPr>
        <w:keepNext/>
        <w:spacing w:before="240"/>
        <w:rPr>
          <w:rFonts w:ascii="Arial" w:eastAsia="Calibri" w:hAnsi="Arial"/>
          <w:b/>
          <w:color w:val="000000"/>
          <w:sz w:val="20"/>
          <w:szCs w:val="24"/>
        </w:rPr>
      </w:pPr>
      <w:r w:rsidRPr="0011597C">
        <w:rPr>
          <w:rFonts w:ascii="Arial" w:eastAsia="Calibri" w:hAnsi="Arial"/>
          <w:b/>
          <w:color w:val="000000"/>
          <w:sz w:val="20"/>
          <w:szCs w:val="24"/>
        </w:rPr>
        <w:t>Appendix Table E8. Subgroup outcomes reported in the fibromyalgia r</w:t>
      </w:r>
      <w:r w:rsidRPr="0011597C">
        <w:rPr>
          <w:rFonts w:ascii="Arial" w:eastAsia="Calibri" w:hAnsi="Arial" w:cs="Arial"/>
          <w:b/>
          <w:color w:val="000000"/>
          <w:sz w:val="20"/>
          <w:szCs w:val="24"/>
        </w:rPr>
        <w:t xml:space="preserve">andomized clinical trial </w:t>
      </w:r>
      <w:r w:rsidRPr="0011597C">
        <w:rPr>
          <w:rFonts w:ascii="Arial" w:eastAsia="Calibri" w:hAnsi="Arial"/>
          <w:b/>
          <w:color w:val="000000"/>
          <w:sz w:val="20"/>
          <w:szCs w:val="24"/>
        </w:rPr>
        <w:t>literature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1"/>
        <w:gridCol w:w="1206"/>
        <w:gridCol w:w="4579"/>
      </w:tblGrid>
      <w:tr w:rsidR="00623B25" w:rsidRPr="0011597C" w:rsidTr="008534B0">
        <w:trPr>
          <w:cantSplit/>
          <w:tblHeader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Number of Articles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Articles in Which Outcome was Used and for Which Subgroups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  <w:shd w:val="clear" w:color="auto" w:fill="D9D9D9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Overall Pain</w:t>
            </w:r>
          </w:p>
        </w:tc>
        <w:tc>
          <w:tcPr>
            <w:tcW w:w="629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Visual Analog Scale (VAS) for pain 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91" w:type="pct"/>
            <w:shd w:val="clear" w:color="auto" w:fill="auto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Any mental health condition: 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Gendreau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2005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Other subgroup: 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Sadreddini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Assis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2006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  <w:r w:rsidRPr="0011597C">
              <w:rPr>
                <w:rFonts w:ascii="Arial" w:hAnsi="Arial" w:cs="Arial"/>
                <w:sz w:val="18"/>
                <w:szCs w:val="18"/>
              </w:rPr>
              <w:t>; Fontaine,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  <w:r w:rsidRPr="0011597C">
              <w:rPr>
                <w:rFonts w:ascii="Arial" w:hAnsi="Arial" w:cs="Arial"/>
                <w:sz w:val="18"/>
                <w:szCs w:val="18"/>
              </w:rPr>
              <w:t>; Younger, 2009</w:t>
            </w:r>
            <w:r w:rsidRPr="0011597C">
              <w:rPr>
                <w:rFonts w:ascii="Arial" w:hAnsi="Arial" w:cs="Arial"/>
                <w:sz w:val="18"/>
                <w:szCs w:val="18"/>
                <w:vertAlign w:val="superscript"/>
              </w:rPr>
              <w:t>38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Gavi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Brief Pain Inventory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91" w:type="pct"/>
            <w:shd w:val="clear" w:color="auto" w:fill="auto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Age: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Chappell,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 xml:space="preserve">; </w:t>
            </w:r>
            <w:r w:rsidRPr="0011597C">
              <w:rPr>
                <w:rFonts w:ascii="Arial" w:hAnsi="Arial" w:cs="Arial"/>
                <w:sz w:val="18"/>
                <w:szCs w:val="18"/>
              </w:rPr>
              <w:t>Arnold,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Sex: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Chappell,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; Arnold, 2004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  <w:vertAlign w:val="superscript"/>
              </w:rPr>
              <w:t>5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 xml:space="preserve">; </w:t>
            </w:r>
            <w:r w:rsidRPr="0011597C">
              <w:rPr>
                <w:rFonts w:ascii="Arial" w:hAnsi="Arial" w:cs="Arial"/>
                <w:sz w:val="18"/>
                <w:szCs w:val="18"/>
              </w:rPr>
              <w:t>Arnold,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Race: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 2012</w:t>
            </w:r>
            <w:r w:rsidRPr="0011597C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11597C">
              <w:rPr>
                <w:rFonts w:ascii="Arial" w:hAnsi="Arial" w:cs="Arial"/>
                <w:sz w:val="18"/>
                <w:szCs w:val="18"/>
              </w:rPr>
              <w:t>; Chappell,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2005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</w:t>
            </w:r>
            <w:r w:rsidRPr="0011597C">
              <w:rPr>
                <w:rFonts w:ascii="Arial" w:hAnsi="Arial" w:cs="Arial"/>
                <w:sz w:val="18"/>
                <w:szCs w:val="18"/>
              </w:rPr>
              <w:t>; Arnold,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  <w:r w:rsidRPr="0011597C">
              <w:rPr>
                <w:rFonts w:ascii="Arial" w:hAnsi="Arial" w:cs="Arial"/>
                <w:sz w:val="18"/>
                <w:szCs w:val="18"/>
              </w:rPr>
              <w:t>; Chappell,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McGill Pain Questionnaire 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91" w:type="pct"/>
            <w:shd w:val="clear" w:color="auto" w:fill="auto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Gendreau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2005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</w:t>
            </w:r>
            <w:r w:rsidRPr="0011597C">
              <w:rPr>
                <w:rFonts w:ascii="Arial" w:hAnsi="Arial" w:cs="Arial"/>
                <w:sz w:val="18"/>
                <w:szCs w:val="18"/>
              </w:rPr>
              <w:t>; Arnold, 2002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MartÍnez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Pain Perception Scale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  <w:shd w:val="clear" w:color="auto" w:fill="auto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Other subgroup: 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Drexler, 2002</w:t>
            </w:r>
            <w:r w:rsidRPr="0011597C">
              <w:rPr>
                <w:rFonts w:ascii="Arial" w:hAnsi="Arial" w:cs="Arial"/>
                <w:sz w:val="18"/>
                <w:szCs w:val="18"/>
                <w:vertAlign w:val="superscript"/>
              </w:rPr>
              <w:t>39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Tender point (TP) assessments</w:t>
            </w:r>
          </w:p>
        </w:tc>
        <w:tc>
          <w:tcPr>
            <w:tcW w:w="629" w:type="pct"/>
          </w:tcPr>
          <w:p w:rsidR="00623B25" w:rsidRPr="0011597C" w:rsidDel="00486F40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91" w:type="pct"/>
            <w:shd w:val="clear" w:color="auto" w:fill="auto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243F6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</w:r>
            <w:r w:rsidRPr="0011597C">
              <w:rPr>
                <w:rFonts w:ascii="Arial" w:hAnsi="Arial" w:cs="Arial"/>
                <w:sz w:val="18"/>
                <w:szCs w:val="18"/>
              </w:rPr>
              <w:t>Arnold, 2002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Obesity: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Senna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Sadreddini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</w:t>
            </w:r>
            <w:r w:rsidRPr="0011597C">
              <w:rPr>
                <w:rFonts w:ascii="Arial" w:hAnsi="Arial" w:cs="Arial"/>
                <w:sz w:val="18"/>
                <w:szCs w:val="18"/>
              </w:rPr>
              <w:t>; Fontaine,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  <w:r w:rsidRPr="0011597C">
              <w:t xml:space="preserve">; </w:t>
            </w:r>
            <w:r w:rsidRPr="0011597C">
              <w:rPr>
                <w:rFonts w:ascii="Arial" w:hAnsi="Arial" w:cs="Arial"/>
                <w:sz w:val="18"/>
                <w:szCs w:val="18"/>
              </w:rPr>
              <w:t>Drexler 2002</w:t>
            </w:r>
            <w:r w:rsidRPr="0011597C">
              <w:rPr>
                <w:rFonts w:ascii="Arial" w:hAnsi="Arial" w:cs="Arial"/>
                <w:sz w:val="18"/>
                <w:szCs w:val="18"/>
                <w:vertAlign w:val="superscript"/>
              </w:rPr>
              <w:t>39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E-diary pain score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  <w:shd w:val="clear" w:color="auto" w:fill="auto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Gendreau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2005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Modified pain map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  <w:shd w:val="clear" w:color="auto" w:fill="auto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Stenning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2011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Gracely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 xml:space="preserve"> pain scale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  <w:shd w:val="clear" w:color="auto" w:fill="auto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Gendreau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2005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  <w:shd w:val="clear" w:color="auto" w:fill="D9D9D9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Fibromyalgia Symptom Improvement</w:t>
            </w:r>
          </w:p>
        </w:tc>
        <w:tc>
          <w:tcPr>
            <w:tcW w:w="629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Fibromyalgia Impact Questionnaire (FIQ)</w:t>
            </w:r>
            <w:r w:rsidR="007626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9" w:type="pct"/>
          </w:tcPr>
          <w:p w:rsidR="00623B25" w:rsidRPr="0011597C" w:rsidDel="00486F40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Sex: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Arnold, 2004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2002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  <w:r w:rsidRPr="0011597C">
              <w:rPr>
                <w:rFonts w:ascii="Arial" w:hAnsi="Arial" w:cs="Arial"/>
                <w:sz w:val="18"/>
                <w:szCs w:val="18"/>
              </w:rPr>
              <w:t>; Arnold, 2004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Scheidt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2013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Obesity: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Senna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Fatigue: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Lera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2009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  <w:r w:rsidR="007626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Assis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2006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  <w:r w:rsidRPr="0011597C">
              <w:rPr>
                <w:rFonts w:ascii="Arial" w:hAnsi="Arial" w:cs="Arial"/>
                <w:sz w:val="18"/>
                <w:szCs w:val="18"/>
              </w:rPr>
              <w:t>; Fontaine,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  <w:r w:rsidRPr="0011597C">
              <w:t xml:space="preserve">;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Gavi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</w:t>
            </w:r>
            <w:r w:rsidRPr="0011597C">
              <w:rPr>
                <w:rFonts w:ascii="Arial" w:hAnsi="Arial" w:cs="Arial"/>
                <w:sz w:val="18"/>
                <w:szCs w:val="18"/>
              </w:rPr>
              <w:t>; Joshi, 2009</w:t>
            </w:r>
            <w:r w:rsidRPr="0011597C"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MartÍnez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Patient Global Impression of Improvement (PGI-I) 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3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Age: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Arnold, 2010</w:t>
            </w:r>
            <w:r w:rsidRPr="0011597C">
              <w:rPr>
                <w:rFonts w:ascii="Arial" w:hAnsi="Arial" w:cs="Arial"/>
                <w:noProof/>
                <w:color w:val="0D0D0D"/>
                <w:sz w:val="18"/>
                <w:szCs w:val="18"/>
                <w:vertAlign w:val="superscript"/>
              </w:rPr>
              <w:t>2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; Russell, 2008</w:t>
            </w:r>
            <w:r w:rsidRPr="0011597C">
              <w:rPr>
                <w:rFonts w:ascii="Arial" w:hAnsi="Arial" w:cs="Arial"/>
                <w:noProof/>
                <w:color w:val="0D0D0D"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Sex: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Arnold, 2010</w:t>
            </w:r>
            <w:r w:rsidRPr="0011597C">
              <w:rPr>
                <w:rFonts w:ascii="Arial" w:hAnsi="Arial" w:cs="Arial"/>
                <w:noProof/>
                <w:color w:val="0D0D0D"/>
                <w:sz w:val="18"/>
                <w:szCs w:val="18"/>
                <w:vertAlign w:val="superscript"/>
              </w:rPr>
              <w:t>2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;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; Arnold, 2004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Race: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Arnold 2012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  <w:vertAlign w:val="superscript"/>
              </w:rPr>
              <w:t>2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 xml:space="preserve"> ;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Any mental health condition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Arnold, 2004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; Arnold, 2010</w:t>
            </w:r>
            <w:r w:rsidRPr="0011597C">
              <w:rPr>
                <w:rFonts w:ascii="Arial" w:hAnsi="Arial" w:cs="Arial"/>
                <w:noProof/>
                <w:color w:val="0D0D0D"/>
                <w:sz w:val="18"/>
                <w:szCs w:val="18"/>
                <w:vertAlign w:val="superscript"/>
              </w:rPr>
              <w:t>2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;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lastRenderedPageBreak/>
              <w:t>Clinical Global Impression of Severity Scale (CGI-S)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Age: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Sex: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; Arnold, 2004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Race: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; Arnold, 2004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  <w:shd w:val="clear" w:color="auto" w:fill="D9D9D9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Function</w:t>
            </w:r>
          </w:p>
        </w:tc>
        <w:tc>
          <w:tcPr>
            <w:tcW w:w="629" w:type="pct"/>
            <w:shd w:val="clear" w:color="auto" w:fill="D9D9D9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pct"/>
            <w:shd w:val="clear" w:color="auto" w:fill="D9D9D9"/>
          </w:tcPr>
          <w:p w:rsidR="00623B25" w:rsidRPr="0011597C" w:rsidRDefault="00623B25" w:rsidP="00623B2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Sheehan Disability Scale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Age: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Sex: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; Arnold, 2004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Race: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6 minute walk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Fontaine,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Isometric strength testing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Hakkinen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2001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Muscle strength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Valkeinen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Dynamic balance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Obesity: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Gusi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Heart Rate Variability (HRV)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Gavi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Fitness outcomes (treadmill test, sit and reach test, maximal repetitions test, handgrip dynamometry)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Gavi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  <w:shd w:val="clear" w:color="auto" w:fill="D9D9D9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Participation</w:t>
            </w:r>
          </w:p>
        </w:tc>
        <w:tc>
          <w:tcPr>
            <w:tcW w:w="629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Work time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Valkeinen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  <w:shd w:val="clear" w:color="auto" w:fill="D9D9D9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Health-Related Quality of Life</w:t>
            </w:r>
          </w:p>
        </w:tc>
        <w:tc>
          <w:tcPr>
            <w:tcW w:w="629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tabs>
                <w:tab w:val="left" w:pos="1053"/>
              </w:tabs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Medical Outcomes Study Short-form 36-item Health Survey (SF-36)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Age: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Sex: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 xml:space="preserve"> 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Race: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Any mental health condition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243F60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Assis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2006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  <w:r w:rsidRPr="0011597C">
              <w:t xml:space="preserve">, </w:t>
            </w:r>
            <w:r w:rsidRPr="0011597C">
              <w:rPr>
                <w:rFonts w:ascii="Arial" w:hAnsi="Arial" w:cs="Arial"/>
                <w:sz w:val="18"/>
                <w:szCs w:val="18"/>
              </w:rPr>
              <w:t>Drexler 2002</w:t>
            </w:r>
            <w:r w:rsidRPr="0011597C">
              <w:rPr>
                <w:rFonts w:ascii="Arial" w:hAnsi="Arial" w:cs="Arial"/>
                <w:sz w:val="18"/>
                <w:szCs w:val="18"/>
                <w:vertAlign w:val="superscript"/>
              </w:rPr>
              <w:t>39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Gavi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  <w:shd w:val="clear" w:color="auto" w:fill="D9D9D9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 xml:space="preserve">Fatigue </w:t>
            </w:r>
          </w:p>
        </w:tc>
        <w:tc>
          <w:tcPr>
            <w:tcW w:w="629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Fatigue Severity Scale (FSS) 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Fontaine,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Multidimensional Fatigue Inventory (MFI)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Age: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Sex: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Race: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MartÍnez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  <w:shd w:val="clear" w:color="auto" w:fill="D9D9D9"/>
          </w:tcPr>
          <w:p w:rsidR="00623B25" w:rsidRPr="0011597C" w:rsidRDefault="00623B25" w:rsidP="008534B0">
            <w:pPr>
              <w:pageBreakBefore/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lastRenderedPageBreak/>
              <w:t>Sleep Quality</w:t>
            </w:r>
          </w:p>
        </w:tc>
        <w:tc>
          <w:tcPr>
            <w:tcW w:w="629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Polysomnography</w:t>
            </w:r>
            <w:proofErr w:type="spellEnd"/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Edinger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2005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The Pittsburgh Sleep Quality Index (PSQI) 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Obesity: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Senna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MartÍnez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Sleep Disturbance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Sadreddini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  <w:shd w:val="clear" w:color="auto" w:fill="D9D9D9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Depression and/or Anxiety</w:t>
            </w:r>
          </w:p>
        </w:tc>
        <w:tc>
          <w:tcPr>
            <w:tcW w:w="629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Beck Depression Inventory(BDI) (Beck 1996)</w:t>
            </w:r>
          </w:p>
        </w:tc>
        <w:tc>
          <w:tcPr>
            <w:tcW w:w="629" w:type="pct"/>
          </w:tcPr>
          <w:p w:rsidR="00623B25" w:rsidRPr="0011597C" w:rsidDel="00486F40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Obesity: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Senna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2012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Assis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2006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Hospital Anxiety and Depression Scale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Scheidt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2013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Hospital Anxiety and Depression Questionnaire, Iranian version (IHAD) 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Sadreddini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Quantitative Sensory testing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Stenning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2011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Hamilton Rating Scale of Depression (HAMD)</w:t>
            </w:r>
          </w:p>
        </w:tc>
        <w:tc>
          <w:tcPr>
            <w:tcW w:w="629" w:type="pct"/>
          </w:tcPr>
          <w:p w:rsidR="00623B25" w:rsidRPr="0011597C" w:rsidDel="00486F40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color w:val="243F60"/>
                <w:sz w:val="18"/>
                <w:szCs w:val="18"/>
              </w:rPr>
            </w:pP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color w:val="0D0D0D"/>
                <w:sz w:val="18"/>
                <w:szCs w:val="18"/>
              </w:rPr>
              <w:br/>
              <w:t>Russell,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Center for Epidemiologic Studies Depression Scale (CES-D) 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Fontaine 2010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Depression Quality of Life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Any mental health condition: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  <w:t>Arnold, 2005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Scheidt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2013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Symptom Checklist-90-Revised (SCL-90-R)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MartÍnez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Beck &amp;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Idate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 xml:space="preserve"> Trait-State Inventory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Gavi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  <w:shd w:val="clear" w:color="auto" w:fill="D9D9D9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Health status</w:t>
            </w:r>
          </w:p>
        </w:tc>
        <w:tc>
          <w:tcPr>
            <w:tcW w:w="629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MPI (composite measure of pain, fatigue, and psychological well-being)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Junghaenel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Health Assessment Questionnaire (HAQ) 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Sadreddini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</w:t>
            </w:r>
            <w:r w:rsidRPr="0011597C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Valkeinen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Patient</w:t>
            </w:r>
            <w:r w:rsidR="00762639">
              <w:rPr>
                <w:rFonts w:ascii="Arial" w:hAnsi="Arial" w:cs="Arial"/>
                <w:sz w:val="18"/>
                <w:szCs w:val="18"/>
              </w:rPr>
              <w:t>’</w:t>
            </w:r>
            <w:r w:rsidRPr="0011597C">
              <w:rPr>
                <w:rFonts w:ascii="Arial" w:hAnsi="Arial" w:cs="Arial"/>
                <w:sz w:val="18"/>
                <w:szCs w:val="18"/>
              </w:rPr>
              <w:t>s Global Assessment of Response to Therapy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Assis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2006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Chronic Pain Self-efficacy Scale (CPSS)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MartÍnez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 xml:space="preserve">Pain </w:t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Catastrophizing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 xml:space="preserve"> Scale (PCS)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MartÍnez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2014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  <w:shd w:val="clear" w:color="auto" w:fill="D9D9D9"/>
          </w:tcPr>
          <w:p w:rsidR="00623B25" w:rsidRPr="0011597C" w:rsidRDefault="00623B25" w:rsidP="00623B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97C">
              <w:rPr>
                <w:rFonts w:ascii="Arial" w:hAnsi="Arial" w:cs="Arial"/>
                <w:b/>
                <w:sz w:val="18"/>
                <w:szCs w:val="18"/>
              </w:rPr>
              <w:t>Other outcomes</w:t>
            </w:r>
          </w:p>
        </w:tc>
        <w:tc>
          <w:tcPr>
            <w:tcW w:w="629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pct"/>
            <w:shd w:val="clear" w:color="auto" w:fill="D9D9D9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VO</w:t>
            </w:r>
            <w:r w:rsidRPr="0011597C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 </w:t>
            </w:r>
            <w:r w:rsidRPr="0011597C">
              <w:rPr>
                <w:rFonts w:ascii="Arial" w:hAnsi="Arial" w:cs="Arial"/>
                <w:sz w:val="18"/>
                <w:szCs w:val="18"/>
              </w:rPr>
              <w:t>(peak oxygen uptake)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Valkeinen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2008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</w:tr>
      <w:tr w:rsidR="00623B25" w:rsidRPr="0011597C" w:rsidTr="008534B0">
        <w:trPr>
          <w:cantSplit/>
        </w:trPr>
        <w:tc>
          <w:tcPr>
            <w:tcW w:w="1979" w:type="pct"/>
          </w:tcPr>
          <w:p w:rsidR="00623B25" w:rsidRPr="0011597C" w:rsidRDefault="00623B25" w:rsidP="00623B25">
            <w:pPr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Serum hormone levels</w:t>
            </w:r>
          </w:p>
        </w:tc>
        <w:tc>
          <w:tcPr>
            <w:tcW w:w="629" w:type="pct"/>
          </w:tcPr>
          <w:p w:rsidR="00623B25" w:rsidRPr="0011597C" w:rsidRDefault="00623B25" w:rsidP="00623B25">
            <w:pPr>
              <w:tabs>
                <w:tab w:val="left" w:pos="23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91" w:type="pct"/>
          </w:tcPr>
          <w:p w:rsidR="00623B25" w:rsidRPr="0011597C" w:rsidRDefault="00623B25" w:rsidP="00623B25">
            <w:pPr>
              <w:tabs>
                <w:tab w:val="left" w:pos="237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11597C">
              <w:rPr>
                <w:rFonts w:ascii="Arial" w:hAnsi="Arial" w:cs="Arial"/>
                <w:sz w:val="18"/>
                <w:szCs w:val="18"/>
              </w:rPr>
              <w:t>Other subgroup:</w:t>
            </w:r>
            <w:r w:rsidRPr="0011597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1597C">
              <w:rPr>
                <w:rFonts w:ascii="Arial" w:hAnsi="Arial" w:cs="Arial"/>
                <w:sz w:val="18"/>
                <w:szCs w:val="18"/>
              </w:rPr>
              <w:t>Hakkinen</w:t>
            </w:r>
            <w:proofErr w:type="spellEnd"/>
            <w:r w:rsidRPr="0011597C">
              <w:rPr>
                <w:rFonts w:ascii="Arial" w:hAnsi="Arial" w:cs="Arial"/>
                <w:sz w:val="18"/>
                <w:szCs w:val="18"/>
              </w:rPr>
              <w:t>, 2001</w:t>
            </w:r>
            <w:r w:rsidRPr="0011597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</w:tc>
      </w:tr>
    </w:tbl>
    <w:p w:rsidR="00D90B24" w:rsidRPr="000F7DC7" w:rsidRDefault="00D90B24" w:rsidP="001A0C19">
      <w:pPr>
        <w:keepNext/>
      </w:pPr>
    </w:p>
    <w:sectPr w:rsidR="00D90B24" w:rsidRPr="000F7DC7" w:rsidSect="000F279C">
      <w:footerReference w:type="default" r:id="rId8"/>
      <w:pgSz w:w="12240" w:h="15840"/>
      <w:pgMar w:top="1440" w:right="1440" w:bottom="1440" w:left="1440" w:header="720" w:footer="720" w:gutter="0"/>
      <w:pgNumType w:start="46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12D8A1" w15:done="0"/>
  <w15:commentEx w15:paraId="02F41ADA" w15:done="0"/>
  <w15:commentEx w15:paraId="33C3A0A9" w15:done="0"/>
  <w15:commentEx w15:paraId="3B1D429D" w15:done="0"/>
  <w15:commentEx w15:paraId="71FDFE5D" w15:done="0"/>
  <w15:commentEx w15:paraId="0E8B4DC0" w15:done="0"/>
  <w15:commentEx w15:paraId="295640AB" w15:done="0"/>
  <w15:commentEx w15:paraId="4F514E81" w15:done="0"/>
  <w15:commentEx w15:paraId="19E5B5A2" w15:done="0"/>
  <w15:commentEx w15:paraId="7C5D63E0" w15:done="0"/>
  <w15:commentEx w15:paraId="656B45D6" w15:done="0"/>
  <w15:commentEx w15:paraId="076FBF55" w15:done="0"/>
  <w15:commentEx w15:paraId="7C76E696" w15:done="0"/>
  <w15:commentEx w15:paraId="35C88F95" w15:done="0"/>
  <w15:commentEx w15:paraId="0D555AB9" w15:done="0"/>
  <w15:commentEx w15:paraId="069CFB2C" w15:done="0"/>
  <w15:commentEx w15:paraId="51860542" w15:done="0"/>
  <w15:commentEx w15:paraId="0D44615C" w15:done="0"/>
  <w15:commentEx w15:paraId="225E3217" w15:done="0"/>
  <w15:commentEx w15:paraId="3CA25281" w15:done="0"/>
  <w15:commentEx w15:paraId="0F194C34" w15:done="0"/>
  <w15:commentEx w15:paraId="27814E14" w15:done="0"/>
  <w15:commentEx w15:paraId="1E4307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48A" w:rsidRDefault="0063448A">
      <w:r>
        <w:separator/>
      </w:r>
    </w:p>
    <w:p w:rsidR="0063448A" w:rsidRDefault="0063448A"/>
  </w:endnote>
  <w:endnote w:type="continuationSeparator" w:id="0">
    <w:p w:rsidR="0063448A" w:rsidRDefault="0063448A">
      <w:r>
        <w:continuationSeparator/>
      </w:r>
    </w:p>
    <w:p w:rsidR="0063448A" w:rsidRDefault="006344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A" w:rsidRPr="001B2F21" w:rsidRDefault="00FB029A" w:rsidP="00570323">
    <w:pPr>
      <w:pStyle w:val="PageNumber"/>
    </w:pPr>
    <w:r w:rsidRPr="001B2F21">
      <w:t>E-</w:t>
    </w:r>
    <w:sdt>
      <w:sdtPr>
        <w:id w:val="34852891"/>
        <w:docPartObj>
          <w:docPartGallery w:val="Page Numbers (Bottom of Page)"/>
          <w:docPartUnique/>
        </w:docPartObj>
      </w:sdtPr>
      <w:sdtContent>
        <w:r w:rsidR="001B1643" w:rsidRPr="001B2F21">
          <w:fldChar w:fldCharType="begin"/>
        </w:r>
        <w:r w:rsidRPr="001B2F21">
          <w:instrText xml:space="preserve"> PAGE   \* MERGEFORMAT </w:instrText>
        </w:r>
        <w:r w:rsidR="001B1643" w:rsidRPr="001B2F21">
          <w:fldChar w:fldCharType="separate"/>
        </w:r>
        <w:r w:rsidR="000F279C">
          <w:rPr>
            <w:noProof/>
          </w:rPr>
          <w:t>48</w:t>
        </w:r>
        <w:r w:rsidR="001B1643" w:rsidRPr="001B2F21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48A" w:rsidRDefault="0063448A">
      <w:r>
        <w:separator/>
      </w:r>
    </w:p>
    <w:p w:rsidR="0063448A" w:rsidRDefault="0063448A"/>
  </w:footnote>
  <w:footnote w:type="continuationSeparator" w:id="0">
    <w:p w:rsidR="0063448A" w:rsidRDefault="0063448A">
      <w:r>
        <w:continuationSeparator/>
      </w:r>
    </w:p>
    <w:p w:rsidR="0063448A" w:rsidRDefault="006344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76A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20B6"/>
    <w:multiLevelType w:val="hybridMultilevel"/>
    <w:tmpl w:val="62863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B1ADA"/>
    <w:multiLevelType w:val="hybridMultilevel"/>
    <w:tmpl w:val="D3E492D0"/>
    <w:lvl w:ilvl="0" w:tplc="14289F1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176"/>
    <w:multiLevelType w:val="hybridMultilevel"/>
    <w:tmpl w:val="08A0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63B2D"/>
    <w:multiLevelType w:val="hybridMultilevel"/>
    <w:tmpl w:val="7DB8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4398"/>
    <w:multiLevelType w:val="hybridMultilevel"/>
    <w:tmpl w:val="C3FAED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CA4F8F"/>
    <w:multiLevelType w:val="hybridMultilevel"/>
    <w:tmpl w:val="D5FCA0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18A"/>
    <w:multiLevelType w:val="hybridMultilevel"/>
    <w:tmpl w:val="E5848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4E31D3"/>
    <w:multiLevelType w:val="hybridMultilevel"/>
    <w:tmpl w:val="3F505B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1181AAE"/>
    <w:multiLevelType w:val="hybridMultilevel"/>
    <w:tmpl w:val="7AD4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750A7"/>
    <w:multiLevelType w:val="hybridMultilevel"/>
    <w:tmpl w:val="DF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000E9"/>
    <w:multiLevelType w:val="hybridMultilevel"/>
    <w:tmpl w:val="12E8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3E1BFA"/>
    <w:multiLevelType w:val="hybridMultilevel"/>
    <w:tmpl w:val="957896E4"/>
    <w:lvl w:ilvl="0" w:tplc="8A0688F2">
      <w:start w:val="1"/>
      <w:numFmt w:val="decimal"/>
      <w:lvlText w:val="%1."/>
      <w:lvlJc w:val="left"/>
      <w:pPr>
        <w:ind w:left="787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36F4663D"/>
    <w:multiLevelType w:val="hybridMultilevel"/>
    <w:tmpl w:val="0010DF3C"/>
    <w:lvl w:ilvl="0" w:tplc="38EC40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C4FBF"/>
    <w:multiLevelType w:val="hybridMultilevel"/>
    <w:tmpl w:val="31585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367F6"/>
    <w:multiLevelType w:val="hybridMultilevel"/>
    <w:tmpl w:val="498E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DB2"/>
    <w:multiLevelType w:val="hybridMultilevel"/>
    <w:tmpl w:val="4D7032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D258DE"/>
    <w:multiLevelType w:val="hybridMultilevel"/>
    <w:tmpl w:val="B73C0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47362"/>
    <w:multiLevelType w:val="hybridMultilevel"/>
    <w:tmpl w:val="E9AC1E20"/>
    <w:lvl w:ilvl="0" w:tplc="118226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EC67BC"/>
    <w:multiLevelType w:val="hybridMultilevel"/>
    <w:tmpl w:val="B8E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F43AC2"/>
    <w:multiLevelType w:val="hybridMultilevel"/>
    <w:tmpl w:val="BCDA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417BE"/>
    <w:multiLevelType w:val="hybridMultilevel"/>
    <w:tmpl w:val="C28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63CB3"/>
    <w:multiLevelType w:val="hybridMultilevel"/>
    <w:tmpl w:val="F0A4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58A9"/>
    <w:multiLevelType w:val="hybridMultilevel"/>
    <w:tmpl w:val="3424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E2FB2"/>
    <w:multiLevelType w:val="hybridMultilevel"/>
    <w:tmpl w:val="D87E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0A11F1"/>
    <w:multiLevelType w:val="hybridMultilevel"/>
    <w:tmpl w:val="0324C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D72F6"/>
    <w:multiLevelType w:val="hybridMultilevel"/>
    <w:tmpl w:val="ABBE2E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C4F7A"/>
    <w:multiLevelType w:val="hybridMultilevel"/>
    <w:tmpl w:val="606A3BFA"/>
    <w:lvl w:ilvl="0" w:tplc="8A068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11B3D"/>
    <w:multiLevelType w:val="hybridMultilevel"/>
    <w:tmpl w:val="705C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8"/>
  </w:num>
  <w:num w:numId="5">
    <w:abstractNumId w:val="21"/>
  </w:num>
  <w:num w:numId="6">
    <w:abstractNumId w:val="24"/>
  </w:num>
  <w:num w:numId="7">
    <w:abstractNumId w:val="4"/>
  </w:num>
  <w:num w:numId="8">
    <w:abstractNumId w:val="33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7"/>
  </w:num>
  <w:num w:numId="17">
    <w:abstractNumId w:val="3"/>
  </w:num>
  <w:num w:numId="18">
    <w:abstractNumId w:val="12"/>
  </w:num>
  <w:num w:numId="19">
    <w:abstractNumId w:val="15"/>
  </w:num>
  <w:num w:numId="20">
    <w:abstractNumId w:val="10"/>
  </w:num>
  <w:num w:numId="21">
    <w:abstractNumId w:val="23"/>
  </w:num>
  <w:num w:numId="22">
    <w:abstractNumId w:val="30"/>
  </w:num>
  <w:num w:numId="23">
    <w:abstractNumId w:val="11"/>
  </w:num>
  <w:num w:numId="24">
    <w:abstractNumId w:val="35"/>
  </w:num>
  <w:num w:numId="25">
    <w:abstractNumId w:val="9"/>
  </w:num>
  <w:num w:numId="26">
    <w:abstractNumId w:val="31"/>
  </w:num>
  <w:num w:numId="27">
    <w:abstractNumId w:val="0"/>
  </w:num>
  <w:num w:numId="28">
    <w:abstractNumId w:val="13"/>
  </w:num>
  <w:num w:numId="29">
    <w:abstractNumId w:val="6"/>
  </w:num>
  <w:num w:numId="30">
    <w:abstractNumId w:val="18"/>
  </w:num>
  <w:num w:numId="31">
    <w:abstractNumId w:val="22"/>
  </w:num>
  <w:num w:numId="32">
    <w:abstractNumId w:val="2"/>
  </w:num>
  <w:num w:numId="33">
    <w:abstractNumId w:val="27"/>
  </w:num>
  <w:num w:numId="34">
    <w:abstractNumId w:val="34"/>
  </w:num>
  <w:num w:numId="35">
    <w:abstractNumId w:val="20"/>
  </w:num>
  <w:num w:numId="36">
    <w:abstractNumId w:val="32"/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8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xaf5zssetx2sjeae0cpw2tavzpszser9a20&quot;&gt;Fibro report EndNote Library_5-13-14 ME -mlf update deduped_final 9-24-14 Copy&lt;record-ids&gt;&lt;item&gt;14&lt;/item&gt;&lt;item&gt;18&lt;/item&gt;&lt;item&gt;19&lt;/item&gt;&lt;item&gt;23&lt;/item&gt;&lt;item&gt;79&lt;/item&gt;&lt;item&gt;96&lt;/item&gt;&lt;item&gt;118&lt;/item&gt;&lt;item&gt;129&lt;/item&gt;&lt;item&gt;167&lt;/item&gt;&lt;item&gt;172&lt;/item&gt;&lt;item&gt;203&lt;/item&gt;&lt;item&gt;647&lt;/item&gt;&lt;item&gt;1181&lt;/item&gt;&lt;item&gt;2201&lt;/item&gt;&lt;item&gt;3840&lt;/item&gt;&lt;item&gt;3919&lt;/item&gt;&lt;item&gt;4216&lt;/item&gt;&lt;item&gt;4249&lt;/item&gt;&lt;item&gt;4311&lt;/item&gt;&lt;item&gt;4346&lt;/item&gt;&lt;item&gt;4347&lt;/item&gt;&lt;item&gt;4348&lt;/item&gt;&lt;item&gt;4350&lt;/item&gt;&lt;item&gt;4351&lt;/item&gt;&lt;item&gt;4352&lt;/item&gt;&lt;item&gt;4355&lt;/item&gt;&lt;item&gt;4358&lt;/item&gt;&lt;item&gt;4376&lt;/item&gt;&lt;item&gt;4379&lt;/item&gt;&lt;item&gt;4405&lt;/item&gt;&lt;item&gt;4414&lt;/item&gt;&lt;item&gt;4420&lt;/item&gt;&lt;item&gt;4489&lt;/item&gt;&lt;item&gt;4491&lt;/item&gt;&lt;item&gt;4495&lt;/item&gt;&lt;item&gt;4525&lt;/item&gt;&lt;item&gt;4603&lt;/item&gt;&lt;item&gt;4611&lt;/item&gt;&lt;item&gt;4618&lt;/item&gt;&lt;item&gt;4619&lt;/item&gt;&lt;item&gt;4620&lt;/item&gt;&lt;item&gt;4622&lt;/item&gt;&lt;item&gt;4623&lt;/item&gt;&lt;item&gt;4624&lt;/item&gt;&lt;item&gt;4630&lt;/item&gt;&lt;item&gt;4638&lt;/item&gt;&lt;item&gt;4642&lt;/item&gt;&lt;item&gt;4646&lt;/item&gt;&lt;item&gt;4647&lt;/item&gt;&lt;item&gt;4650&lt;/item&gt;&lt;item&gt;4651&lt;/item&gt;&lt;item&gt;4653&lt;/item&gt;&lt;item&gt;4657&lt;/item&gt;&lt;item&gt;4665&lt;/item&gt;&lt;item&gt;4675&lt;/item&gt;&lt;item&gt;4677&lt;/item&gt;&lt;item&gt;4681&lt;/item&gt;&lt;item&gt;4683&lt;/item&gt;&lt;item&gt;4687&lt;/item&gt;&lt;item&gt;4688&lt;/item&gt;&lt;item&gt;4689&lt;/item&gt;&lt;item&gt;4690&lt;/item&gt;&lt;item&gt;4691&lt;/item&gt;&lt;item&gt;4692&lt;/item&gt;&lt;item&gt;4694&lt;/item&gt;&lt;item&gt;4695&lt;/item&gt;&lt;item&gt;4696&lt;/item&gt;&lt;item&gt;4697&lt;/item&gt;&lt;item&gt;4699&lt;/item&gt;&lt;item&gt;4700&lt;/item&gt;&lt;item&gt;4701&lt;/item&gt;&lt;item&gt;4702&lt;/item&gt;&lt;item&gt;4703&lt;/item&gt;&lt;item&gt;4706&lt;/item&gt;&lt;item&gt;4752&lt;/item&gt;&lt;item&gt;4782&lt;/item&gt;&lt;item&gt;5027&lt;/item&gt;&lt;item&gt;5028&lt;/item&gt;&lt;item&gt;5029&lt;/item&gt;&lt;item&gt;5030&lt;/item&gt;&lt;item&gt;5033&lt;/item&gt;&lt;item&gt;5034&lt;/item&gt;&lt;item&gt;5035&lt;/item&gt;&lt;/record-ids&gt;&lt;/item&gt;&lt;/Libraries&gt;"/>
  </w:docVars>
  <w:rsids>
    <w:rsidRoot w:val="006F5130"/>
    <w:rsid w:val="00001B1C"/>
    <w:rsid w:val="00003CDD"/>
    <w:rsid w:val="000074DC"/>
    <w:rsid w:val="000117F8"/>
    <w:rsid w:val="00011CC8"/>
    <w:rsid w:val="000129D0"/>
    <w:rsid w:val="000214EE"/>
    <w:rsid w:val="000416F1"/>
    <w:rsid w:val="0006017D"/>
    <w:rsid w:val="00061A79"/>
    <w:rsid w:val="00075F59"/>
    <w:rsid w:val="00077518"/>
    <w:rsid w:val="00080D51"/>
    <w:rsid w:val="00081848"/>
    <w:rsid w:val="00082D90"/>
    <w:rsid w:val="000844D9"/>
    <w:rsid w:val="000850F6"/>
    <w:rsid w:val="0009453F"/>
    <w:rsid w:val="00096159"/>
    <w:rsid w:val="00096941"/>
    <w:rsid w:val="00097974"/>
    <w:rsid w:val="000A56A5"/>
    <w:rsid w:val="000B2BF4"/>
    <w:rsid w:val="000D0CAC"/>
    <w:rsid w:val="000D43B5"/>
    <w:rsid w:val="000D54CA"/>
    <w:rsid w:val="000D59A9"/>
    <w:rsid w:val="000D6C31"/>
    <w:rsid w:val="000E1005"/>
    <w:rsid w:val="000E5C90"/>
    <w:rsid w:val="000E6F73"/>
    <w:rsid w:val="000F15CE"/>
    <w:rsid w:val="000F279C"/>
    <w:rsid w:val="000F5F7A"/>
    <w:rsid w:val="000F7DC7"/>
    <w:rsid w:val="00100862"/>
    <w:rsid w:val="00105C03"/>
    <w:rsid w:val="001176E4"/>
    <w:rsid w:val="00120920"/>
    <w:rsid w:val="00126B87"/>
    <w:rsid w:val="00131159"/>
    <w:rsid w:val="00132B29"/>
    <w:rsid w:val="00141A8B"/>
    <w:rsid w:val="00141AD8"/>
    <w:rsid w:val="00141DB6"/>
    <w:rsid w:val="00142277"/>
    <w:rsid w:val="00150024"/>
    <w:rsid w:val="001501AC"/>
    <w:rsid w:val="00156F09"/>
    <w:rsid w:val="00160129"/>
    <w:rsid w:val="00160147"/>
    <w:rsid w:val="001647C7"/>
    <w:rsid w:val="00165DBD"/>
    <w:rsid w:val="0016619E"/>
    <w:rsid w:val="00167198"/>
    <w:rsid w:val="001745C4"/>
    <w:rsid w:val="00175BD9"/>
    <w:rsid w:val="0017667A"/>
    <w:rsid w:val="00183A8E"/>
    <w:rsid w:val="001865FC"/>
    <w:rsid w:val="00187498"/>
    <w:rsid w:val="00187513"/>
    <w:rsid w:val="00190362"/>
    <w:rsid w:val="001930D0"/>
    <w:rsid w:val="00194314"/>
    <w:rsid w:val="00196B2C"/>
    <w:rsid w:val="001A0C19"/>
    <w:rsid w:val="001B1643"/>
    <w:rsid w:val="001C070E"/>
    <w:rsid w:val="001C07DF"/>
    <w:rsid w:val="001C4886"/>
    <w:rsid w:val="001D12C3"/>
    <w:rsid w:val="001E11DB"/>
    <w:rsid w:val="001E593D"/>
    <w:rsid w:val="001E6D3A"/>
    <w:rsid w:val="001E762C"/>
    <w:rsid w:val="001F00D7"/>
    <w:rsid w:val="001F2777"/>
    <w:rsid w:val="001F5D30"/>
    <w:rsid w:val="001F5FC4"/>
    <w:rsid w:val="00201F4B"/>
    <w:rsid w:val="002058EF"/>
    <w:rsid w:val="00205EF3"/>
    <w:rsid w:val="00213A30"/>
    <w:rsid w:val="00217B4E"/>
    <w:rsid w:val="002217BC"/>
    <w:rsid w:val="002220C4"/>
    <w:rsid w:val="0022253C"/>
    <w:rsid w:val="002239FF"/>
    <w:rsid w:val="00225E93"/>
    <w:rsid w:val="0023053C"/>
    <w:rsid w:val="00232435"/>
    <w:rsid w:val="00234F65"/>
    <w:rsid w:val="0024184D"/>
    <w:rsid w:val="002437B1"/>
    <w:rsid w:val="00257A54"/>
    <w:rsid w:val="00257BAA"/>
    <w:rsid w:val="00263CC8"/>
    <w:rsid w:val="0026461F"/>
    <w:rsid w:val="00264D77"/>
    <w:rsid w:val="00273958"/>
    <w:rsid w:val="00275260"/>
    <w:rsid w:val="002777AD"/>
    <w:rsid w:val="00282197"/>
    <w:rsid w:val="002844D3"/>
    <w:rsid w:val="002930EC"/>
    <w:rsid w:val="002954C8"/>
    <w:rsid w:val="00295FB3"/>
    <w:rsid w:val="002965E1"/>
    <w:rsid w:val="00296B55"/>
    <w:rsid w:val="00297882"/>
    <w:rsid w:val="002A00E2"/>
    <w:rsid w:val="002A09F0"/>
    <w:rsid w:val="002A63F1"/>
    <w:rsid w:val="002A7892"/>
    <w:rsid w:val="002A7A3B"/>
    <w:rsid w:val="002B24B9"/>
    <w:rsid w:val="002B5F9E"/>
    <w:rsid w:val="002B6FEF"/>
    <w:rsid w:val="002C36B1"/>
    <w:rsid w:val="002C61F0"/>
    <w:rsid w:val="002D2ECE"/>
    <w:rsid w:val="002D3D04"/>
    <w:rsid w:val="002E24D3"/>
    <w:rsid w:val="002E7051"/>
    <w:rsid w:val="002F2E74"/>
    <w:rsid w:val="00300595"/>
    <w:rsid w:val="00302622"/>
    <w:rsid w:val="003063F0"/>
    <w:rsid w:val="00306A28"/>
    <w:rsid w:val="003102B2"/>
    <w:rsid w:val="00314727"/>
    <w:rsid w:val="0031514E"/>
    <w:rsid w:val="00327950"/>
    <w:rsid w:val="003302EC"/>
    <w:rsid w:val="003319F4"/>
    <w:rsid w:val="00332926"/>
    <w:rsid w:val="00334953"/>
    <w:rsid w:val="00337091"/>
    <w:rsid w:val="003457BA"/>
    <w:rsid w:val="00345E7F"/>
    <w:rsid w:val="003605C3"/>
    <w:rsid w:val="0036230F"/>
    <w:rsid w:val="003662AB"/>
    <w:rsid w:val="00370668"/>
    <w:rsid w:val="003736F0"/>
    <w:rsid w:val="00375B7A"/>
    <w:rsid w:val="0038000D"/>
    <w:rsid w:val="00382285"/>
    <w:rsid w:val="00383DA2"/>
    <w:rsid w:val="003852ED"/>
    <w:rsid w:val="00385AB2"/>
    <w:rsid w:val="00385E65"/>
    <w:rsid w:val="003906C5"/>
    <w:rsid w:val="00394921"/>
    <w:rsid w:val="00396601"/>
    <w:rsid w:val="003A0F75"/>
    <w:rsid w:val="003A1C8B"/>
    <w:rsid w:val="003A755A"/>
    <w:rsid w:val="003B1B7B"/>
    <w:rsid w:val="003B5C7C"/>
    <w:rsid w:val="003B7CE2"/>
    <w:rsid w:val="003C2709"/>
    <w:rsid w:val="003D041D"/>
    <w:rsid w:val="003D2422"/>
    <w:rsid w:val="003D388D"/>
    <w:rsid w:val="003E0E6B"/>
    <w:rsid w:val="003E26A8"/>
    <w:rsid w:val="003E6C81"/>
    <w:rsid w:val="003F21BA"/>
    <w:rsid w:val="003F771B"/>
    <w:rsid w:val="0040239E"/>
    <w:rsid w:val="00402410"/>
    <w:rsid w:val="004041A8"/>
    <w:rsid w:val="004041D3"/>
    <w:rsid w:val="004044D0"/>
    <w:rsid w:val="00405063"/>
    <w:rsid w:val="00407ECC"/>
    <w:rsid w:val="004213FD"/>
    <w:rsid w:val="00423BD2"/>
    <w:rsid w:val="00425514"/>
    <w:rsid w:val="004263C5"/>
    <w:rsid w:val="00432E13"/>
    <w:rsid w:val="00433195"/>
    <w:rsid w:val="00441158"/>
    <w:rsid w:val="00443C7F"/>
    <w:rsid w:val="0044411C"/>
    <w:rsid w:val="0044499E"/>
    <w:rsid w:val="00450FB7"/>
    <w:rsid w:val="00455396"/>
    <w:rsid w:val="00466512"/>
    <w:rsid w:val="004704E1"/>
    <w:rsid w:val="00470FF9"/>
    <w:rsid w:val="00471861"/>
    <w:rsid w:val="0047199D"/>
    <w:rsid w:val="00472265"/>
    <w:rsid w:val="00475CBB"/>
    <w:rsid w:val="00481283"/>
    <w:rsid w:val="00484569"/>
    <w:rsid w:val="00487314"/>
    <w:rsid w:val="00490837"/>
    <w:rsid w:val="004926CD"/>
    <w:rsid w:val="0049453C"/>
    <w:rsid w:val="00494ABB"/>
    <w:rsid w:val="004A7BDB"/>
    <w:rsid w:val="004B1CED"/>
    <w:rsid w:val="004B3884"/>
    <w:rsid w:val="004B435B"/>
    <w:rsid w:val="004B6531"/>
    <w:rsid w:val="004C1097"/>
    <w:rsid w:val="004C1386"/>
    <w:rsid w:val="004C1904"/>
    <w:rsid w:val="004C3937"/>
    <w:rsid w:val="004C587E"/>
    <w:rsid w:val="004C6D04"/>
    <w:rsid w:val="004C7928"/>
    <w:rsid w:val="004D11EC"/>
    <w:rsid w:val="004D50AB"/>
    <w:rsid w:val="004E3C7A"/>
    <w:rsid w:val="004E3FB6"/>
    <w:rsid w:val="004E47FB"/>
    <w:rsid w:val="004E5257"/>
    <w:rsid w:val="004E7D5C"/>
    <w:rsid w:val="004F0D7A"/>
    <w:rsid w:val="00501BE1"/>
    <w:rsid w:val="005034F4"/>
    <w:rsid w:val="005057A2"/>
    <w:rsid w:val="00506905"/>
    <w:rsid w:val="005073D8"/>
    <w:rsid w:val="00512E9C"/>
    <w:rsid w:val="00522272"/>
    <w:rsid w:val="00524C81"/>
    <w:rsid w:val="00525267"/>
    <w:rsid w:val="00526690"/>
    <w:rsid w:val="00531B9F"/>
    <w:rsid w:val="00532C75"/>
    <w:rsid w:val="00537CB9"/>
    <w:rsid w:val="00542611"/>
    <w:rsid w:val="00542A90"/>
    <w:rsid w:val="0054535E"/>
    <w:rsid w:val="00550CE2"/>
    <w:rsid w:val="00564C62"/>
    <w:rsid w:val="005661FC"/>
    <w:rsid w:val="00570323"/>
    <w:rsid w:val="005709C8"/>
    <w:rsid w:val="00571D14"/>
    <w:rsid w:val="00572D42"/>
    <w:rsid w:val="00574DFA"/>
    <w:rsid w:val="00586968"/>
    <w:rsid w:val="005912A0"/>
    <w:rsid w:val="005957E5"/>
    <w:rsid w:val="00596927"/>
    <w:rsid w:val="005A4688"/>
    <w:rsid w:val="005A5A18"/>
    <w:rsid w:val="005B0A27"/>
    <w:rsid w:val="005B3867"/>
    <w:rsid w:val="005B3F29"/>
    <w:rsid w:val="005C0D30"/>
    <w:rsid w:val="005C29FE"/>
    <w:rsid w:val="005C40A6"/>
    <w:rsid w:val="005D29DB"/>
    <w:rsid w:val="005D2C6B"/>
    <w:rsid w:val="005D3553"/>
    <w:rsid w:val="005D64AF"/>
    <w:rsid w:val="005D6ECA"/>
    <w:rsid w:val="005D781E"/>
    <w:rsid w:val="005E41B2"/>
    <w:rsid w:val="005E45E0"/>
    <w:rsid w:val="005E604A"/>
    <w:rsid w:val="005E6717"/>
    <w:rsid w:val="005F1A46"/>
    <w:rsid w:val="005F5FB4"/>
    <w:rsid w:val="005F6688"/>
    <w:rsid w:val="005F7F44"/>
    <w:rsid w:val="00606666"/>
    <w:rsid w:val="00613BBA"/>
    <w:rsid w:val="00616B5E"/>
    <w:rsid w:val="00621A5F"/>
    <w:rsid w:val="00622558"/>
    <w:rsid w:val="00623B25"/>
    <w:rsid w:val="00623E45"/>
    <w:rsid w:val="00626C31"/>
    <w:rsid w:val="0063448A"/>
    <w:rsid w:val="006409CC"/>
    <w:rsid w:val="00644A62"/>
    <w:rsid w:val="006500EF"/>
    <w:rsid w:val="0065385F"/>
    <w:rsid w:val="00653CD6"/>
    <w:rsid w:val="00654402"/>
    <w:rsid w:val="00656C66"/>
    <w:rsid w:val="00657502"/>
    <w:rsid w:val="0066585B"/>
    <w:rsid w:val="00666B55"/>
    <w:rsid w:val="00672C33"/>
    <w:rsid w:val="00673745"/>
    <w:rsid w:val="00675731"/>
    <w:rsid w:val="00677221"/>
    <w:rsid w:val="00680688"/>
    <w:rsid w:val="00680D98"/>
    <w:rsid w:val="00681219"/>
    <w:rsid w:val="0068460F"/>
    <w:rsid w:val="00684C23"/>
    <w:rsid w:val="00685D1E"/>
    <w:rsid w:val="006867B2"/>
    <w:rsid w:val="00691390"/>
    <w:rsid w:val="00693BD6"/>
    <w:rsid w:val="00693E74"/>
    <w:rsid w:val="006953A5"/>
    <w:rsid w:val="006A2FA7"/>
    <w:rsid w:val="006B17BE"/>
    <w:rsid w:val="006B5209"/>
    <w:rsid w:val="006B6899"/>
    <w:rsid w:val="006C2A1D"/>
    <w:rsid w:val="006C3D5E"/>
    <w:rsid w:val="006C4056"/>
    <w:rsid w:val="006C4AD6"/>
    <w:rsid w:val="006D3468"/>
    <w:rsid w:val="006D3E3F"/>
    <w:rsid w:val="006D3FBD"/>
    <w:rsid w:val="006D731C"/>
    <w:rsid w:val="006E4D5E"/>
    <w:rsid w:val="006E5BAE"/>
    <w:rsid w:val="006E7678"/>
    <w:rsid w:val="006F5130"/>
    <w:rsid w:val="006F56F5"/>
    <w:rsid w:val="00700C72"/>
    <w:rsid w:val="00701D3D"/>
    <w:rsid w:val="00706790"/>
    <w:rsid w:val="00710D08"/>
    <w:rsid w:val="00715E6F"/>
    <w:rsid w:val="00720C7D"/>
    <w:rsid w:val="00723354"/>
    <w:rsid w:val="0072736A"/>
    <w:rsid w:val="00731B63"/>
    <w:rsid w:val="007330B8"/>
    <w:rsid w:val="00736817"/>
    <w:rsid w:val="00742309"/>
    <w:rsid w:val="00746065"/>
    <w:rsid w:val="00746B2B"/>
    <w:rsid w:val="007507DD"/>
    <w:rsid w:val="007517D0"/>
    <w:rsid w:val="00754216"/>
    <w:rsid w:val="00754394"/>
    <w:rsid w:val="00755E19"/>
    <w:rsid w:val="0076008A"/>
    <w:rsid w:val="007614A5"/>
    <w:rsid w:val="00762639"/>
    <w:rsid w:val="00762B5B"/>
    <w:rsid w:val="007675C9"/>
    <w:rsid w:val="00776A61"/>
    <w:rsid w:val="00776EF7"/>
    <w:rsid w:val="0078079D"/>
    <w:rsid w:val="00790F13"/>
    <w:rsid w:val="00791F83"/>
    <w:rsid w:val="007A29A7"/>
    <w:rsid w:val="007A616B"/>
    <w:rsid w:val="007B150D"/>
    <w:rsid w:val="007B3D10"/>
    <w:rsid w:val="007C1B6F"/>
    <w:rsid w:val="007C24F5"/>
    <w:rsid w:val="007C538F"/>
    <w:rsid w:val="007C6009"/>
    <w:rsid w:val="007C606F"/>
    <w:rsid w:val="007D5D14"/>
    <w:rsid w:val="007D7470"/>
    <w:rsid w:val="007E2E55"/>
    <w:rsid w:val="007E31F3"/>
    <w:rsid w:val="007E6EF9"/>
    <w:rsid w:val="007E7E04"/>
    <w:rsid w:val="007F023A"/>
    <w:rsid w:val="007F0F67"/>
    <w:rsid w:val="007F5CB8"/>
    <w:rsid w:val="008017C2"/>
    <w:rsid w:val="0080457C"/>
    <w:rsid w:val="0080538C"/>
    <w:rsid w:val="008058B1"/>
    <w:rsid w:val="00805B40"/>
    <w:rsid w:val="00806795"/>
    <w:rsid w:val="00811E18"/>
    <w:rsid w:val="00815608"/>
    <w:rsid w:val="0082352D"/>
    <w:rsid w:val="0083098F"/>
    <w:rsid w:val="00832E69"/>
    <w:rsid w:val="008458D9"/>
    <w:rsid w:val="00846A05"/>
    <w:rsid w:val="008534B0"/>
    <w:rsid w:val="008612DC"/>
    <w:rsid w:val="00863BAA"/>
    <w:rsid w:val="00864B86"/>
    <w:rsid w:val="00864C2D"/>
    <w:rsid w:val="00865A6F"/>
    <w:rsid w:val="008715B1"/>
    <w:rsid w:val="00871BA1"/>
    <w:rsid w:val="0087420D"/>
    <w:rsid w:val="00880ED3"/>
    <w:rsid w:val="008817BB"/>
    <w:rsid w:val="008859D9"/>
    <w:rsid w:val="0088779F"/>
    <w:rsid w:val="00892B51"/>
    <w:rsid w:val="00895F5A"/>
    <w:rsid w:val="008A07F1"/>
    <w:rsid w:val="008A2878"/>
    <w:rsid w:val="008A6597"/>
    <w:rsid w:val="008B77C2"/>
    <w:rsid w:val="008C0549"/>
    <w:rsid w:val="008C3D5C"/>
    <w:rsid w:val="008C6398"/>
    <w:rsid w:val="008D14C8"/>
    <w:rsid w:val="008D1E69"/>
    <w:rsid w:val="008D2F88"/>
    <w:rsid w:val="008D4CFA"/>
    <w:rsid w:val="008D5B9E"/>
    <w:rsid w:val="008D5EE2"/>
    <w:rsid w:val="008D6095"/>
    <w:rsid w:val="008D790E"/>
    <w:rsid w:val="008E1B19"/>
    <w:rsid w:val="008F0C3C"/>
    <w:rsid w:val="008F0E65"/>
    <w:rsid w:val="008F10A8"/>
    <w:rsid w:val="008F2E49"/>
    <w:rsid w:val="008F3CE7"/>
    <w:rsid w:val="008F5D0C"/>
    <w:rsid w:val="00900341"/>
    <w:rsid w:val="00903965"/>
    <w:rsid w:val="009040DD"/>
    <w:rsid w:val="00914BE3"/>
    <w:rsid w:val="00916EB9"/>
    <w:rsid w:val="00922827"/>
    <w:rsid w:val="009262E9"/>
    <w:rsid w:val="0092648D"/>
    <w:rsid w:val="00933864"/>
    <w:rsid w:val="0093735A"/>
    <w:rsid w:val="0094138B"/>
    <w:rsid w:val="00946552"/>
    <w:rsid w:val="0095395E"/>
    <w:rsid w:val="00970673"/>
    <w:rsid w:val="00971952"/>
    <w:rsid w:val="0097382C"/>
    <w:rsid w:val="00973AF1"/>
    <w:rsid w:val="009748F2"/>
    <w:rsid w:val="009821D1"/>
    <w:rsid w:val="00982F3A"/>
    <w:rsid w:val="00984009"/>
    <w:rsid w:val="00984B55"/>
    <w:rsid w:val="00986C03"/>
    <w:rsid w:val="00990447"/>
    <w:rsid w:val="0099482F"/>
    <w:rsid w:val="009A22F6"/>
    <w:rsid w:val="009A749B"/>
    <w:rsid w:val="009B5F1B"/>
    <w:rsid w:val="009C39D5"/>
    <w:rsid w:val="009C5339"/>
    <w:rsid w:val="009E5CD4"/>
    <w:rsid w:val="009E6AC0"/>
    <w:rsid w:val="009E7D4F"/>
    <w:rsid w:val="009F2A80"/>
    <w:rsid w:val="009F571A"/>
    <w:rsid w:val="00A03EF2"/>
    <w:rsid w:val="00A03FA9"/>
    <w:rsid w:val="00A04E17"/>
    <w:rsid w:val="00A05D1F"/>
    <w:rsid w:val="00A07D87"/>
    <w:rsid w:val="00A117D2"/>
    <w:rsid w:val="00A121FF"/>
    <w:rsid w:val="00A12A8A"/>
    <w:rsid w:val="00A32A9E"/>
    <w:rsid w:val="00A3745A"/>
    <w:rsid w:val="00A37D78"/>
    <w:rsid w:val="00A433AE"/>
    <w:rsid w:val="00A52A4C"/>
    <w:rsid w:val="00A56F17"/>
    <w:rsid w:val="00A6050E"/>
    <w:rsid w:val="00A60D75"/>
    <w:rsid w:val="00A60F8A"/>
    <w:rsid w:val="00A62D87"/>
    <w:rsid w:val="00A646B0"/>
    <w:rsid w:val="00A745E3"/>
    <w:rsid w:val="00A7719C"/>
    <w:rsid w:val="00A77361"/>
    <w:rsid w:val="00A77D78"/>
    <w:rsid w:val="00A81E05"/>
    <w:rsid w:val="00A8747D"/>
    <w:rsid w:val="00A961D1"/>
    <w:rsid w:val="00AB5AB6"/>
    <w:rsid w:val="00AC225E"/>
    <w:rsid w:val="00AC4EE4"/>
    <w:rsid w:val="00AC4FCC"/>
    <w:rsid w:val="00AC65FE"/>
    <w:rsid w:val="00AE5A5B"/>
    <w:rsid w:val="00AF6D39"/>
    <w:rsid w:val="00B038D0"/>
    <w:rsid w:val="00B06509"/>
    <w:rsid w:val="00B0687F"/>
    <w:rsid w:val="00B078F5"/>
    <w:rsid w:val="00B10D3D"/>
    <w:rsid w:val="00B1317C"/>
    <w:rsid w:val="00B14669"/>
    <w:rsid w:val="00B1503A"/>
    <w:rsid w:val="00B15C03"/>
    <w:rsid w:val="00B17797"/>
    <w:rsid w:val="00B17931"/>
    <w:rsid w:val="00B234A9"/>
    <w:rsid w:val="00B31421"/>
    <w:rsid w:val="00B45348"/>
    <w:rsid w:val="00B51F3A"/>
    <w:rsid w:val="00B54EF9"/>
    <w:rsid w:val="00B62976"/>
    <w:rsid w:val="00B64D9E"/>
    <w:rsid w:val="00B709BE"/>
    <w:rsid w:val="00B743BF"/>
    <w:rsid w:val="00B848BB"/>
    <w:rsid w:val="00B92FE6"/>
    <w:rsid w:val="00B95028"/>
    <w:rsid w:val="00B95A74"/>
    <w:rsid w:val="00BA2760"/>
    <w:rsid w:val="00BA4174"/>
    <w:rsid w:val="00BA48E1"/>
    <w:rsid w:val="00BA4D83"/>
    <w:rsid w:val="00BA55F2"/>
    <w:rsid w:val="00BA56C5"/>
    <w:rsid w:val="00BA6EAD"/>
    <w:rsid w:val="00BB6E86"/>
    <w:rsid w:val="00BB76BB"/>
    <w:rsid w:val="00BC23AF"/>
    <w:rsid w:val="00BC64D2"/>
    <w:rsid w:val="00BD14E9"/>
    <w:rsid w:val="00BD45A9"/>
    <w:rsid w:val="00BD4935"/>
    <w:rsid w:val="00BD5CDE"/>
    <w:rsid w:val="00BE3C0D"/>
    <w:rsid w:val="00BE5B87"/>
    <w:rsid w:val="00BF39E4"/>
    <w:rsid w:val="00BF5F0F"/>
    <w:rsid w:val="00BF7573"/>
    <w:rsid w:val="00C011A6"/>
    <w:rsid w:val="00C0374D"/>
    <w:rsid w:val="00C046C6"/>
    <w:rsid w:val="00C1063B"/>
    <w:rsid w:val="00C15112"/>
    <w:rsid w:val="00C1588E"/>
    <w:rsid w:val="00C23140"/>
    <w:rsid w:val="00C2499B"/>
    <w:rsid w:val="00C253BD"/>
    <w:rsid w:val="00C37982"/>
    <w:rsid w:val="00C4066C"/>
    <w:rsid w:val="00C4425C"/>
    <w:rsid w:val="00C44674"/>
    <w:rsid w:val="00C45F42"/>
    <w:rsid w:val="00C52F31"/>
    <w:rsid w:val="00C538A7"/>
    <w:rsid w:val="00C54DCE"/>
    <w:rsid w:val="00C566D5"/>
    <w:rsid w:val="00C56BEB"/>
    <w:rsid w:val="00C57B06"/>
    <w:rsid w:val="00C610A2"/>
    <w:rsid w:val="00C620E0"/>
    <w:rsid w:val="00C665F7"/>
    <w:rsid w:val="00C66765"/>
    <w:rsid w:val="00C67B72"/>
    <w:rsid w:val="00C70927"/>
    <w:rsid w:val="00C75AD6"/>
    <w:rsid w:val="00C80C9D"/>
    <w:rsid w:val="00C86AC8"/>
    <w:rsid w:val="00C97F61"/>
    <w:rsid w:val="00CA0261"/>
    <w:rsid w:val="00CA0EDB"/>
    <w:rsid w:val="00CA3FC8"/>
    <w:rsid w:val="00CA525A"/>
    <w:rsid w:val="00CA742B"/>
    <w:rsid w:val="00CB1922"/>
    <w:rsid w:val="00CB1ABD"/>
    <w:rsid w:val="00CB48D5"/>
    <w:rsid w:val="00CB7FE1"/>
    <w:rsid w:val="00CC486E"/>
    <w:rsid w:val="00CC6C3D"/>
    <w:rsid w:val="00CD4325"/>
    <w:rsid w:val="00CE23E3"/>
    <w:rsid w:val="00CF0E16"/>
    <w:rsid w:val="00D0536A"/>
    <w:rsid w:val="00D06508"/>
    <w:rsid w:val="00D07502"/>
    <w:rsid w:val="00D10A6F"/>
    <w:rsid w:val="00D10AC8"/>
    <w:rsid w:val="00D22F2D"/>
    <w:rsid w:val="00D320F4"/>
    <w:rsid w:val="00D3500C"/>
    <w:rsid w:val="00D47C4A"/>
    <w:rsid w:val="00D521C4"/>
    <w:rsid w:val="00D55444"/>
    <w:rsid w:val="00D60372"/>
    <w:rsid w:val="00D6425A"/>
    <w:rsid w:val="00D64F28"/>
    <w:rsid w:val="00D660F9"/>
    <w:rsid w:val="00D710F4"/>
    <w:rsid w:val="00D7385F"/>
    <w:rsid w:val="00D76A27"/>
    <w:rsid w:val="00D77314"/>
    <w:rsid w:val="00D84B5E"/>
    <w:rsid w:val="00D853F1"/>
    <w:rsid w:val="00D86A99"/>
    <w:rsid w:val="00D90B24"/>
    <w:rsid w:val="00D93203"/>
    <w:rsid w:val="00D93A5D"/>
    <w:rsid w:val="00D94E2C"/>
    <w:rsid w:val="00D96D28"/>
    <w:rsid w:val="00D97328"/>
    <w:rsid w:val="00DA01A6"/>
    <w:rsid w:val="00DA0B96"/>
    <w:rsid w:val="00DA1E99"/>
    <w:rsid w:val="00DA358A"/>
    <w:rsid w:val="00DA409F"/>
    <w:rsid w:val="00DB46C6"/>
    <w:rsid w:val="00DB7597"/>
    <w:rsid w:val="00DC086C"/>
    <w:rsid w:val="00DC2450"/>
    <w:rsid w:val="00DD3873"/>
    <w:rsid w:val="00DE226F"/>
    <w:rsid w:val="00DE2D7A"/>
    <w:rsid w:val="00DE3828"/>
    <w:rsid w:val="00DE43B7"/>
    <w:rsid w:val="00DE4C31"/>
    <w:rsid w:val="00DF2F30"/>
    <w:rsid w:val="00DF36BB"/>
    <w:rsid w:val="00E022DF"/>
    <w:rsid w:val="00E041E9"/>
    <w:rsid w:val="00E07F17"/>
    <w:rsid w:val="00E128F9"/>
    <w:rsid w:val="00E16DB7"/>
    <w:rsid w:val="00E222F4"/>
    <w:rsid w:val="00E3104C"/>
    <w:rsid w:val="00E3383C"/>
    <w:rsid w:val="00E34E24"/>
    <w:rsid w:val="00E41880"/>
    <w:rsid w:val="00E41B54"/>
    <w:rsid w:val="00E442E3"/>
    <w:rsid w:val="00E4682A"/>
    <w:rsid w:val="00E525A6"/>
    <w:rsid w:val="00E54004"/>
    <w:rsid w:val="00E579A5"/>
    <w:rsid w:val="00E61073"/>
    <w:rsid w:val="00E641B3"/>
    <w:rsid w:val="00E70C57"/>
    <w:rsid w:val="00E73B55"/>
    <w:rsid w:val="00E75444"/>
    <w:rsid w:val="00E76215"/>
    <w:rsid w:val="00E827BF"/>
    <w:rsid w:val="00E83BCC"/>
    <w:rsid w:val="00E852CA"/>
    <w:rsid w:val="00E86A29"/>
    <w:rsid w:val="00E86A58"/>
    <w:rsid w:val="00EA32F5"/>
    <w:rsid w:val="00EA488E"/>
    <w:rsid w:val="00EA79B1"/>
    <w:rsid w:val="00EB0EF9"/>
    <w:rsid w:val="00EB36BF"/>
    <w:rsid w:val="00EB5922"/>
    <w:rsid w:val="00EC0BC4"/>
    <w:rsid w:val="00EC4386"/>
    <w:rsid w:val="00EC7496"/>
    <w:rsid w:val="00EE1018"/>
    <w:rsid w:val="00EE48BD"/>
    <w:rsid w:val="00EE4ACC"/>
    <w:rsid w:val="00EF4DC6"/>
    <w:rsid w:val="00EF6742"/>
    <w:rsid w:val="00EF754B"/>
    <w:rsid w:val="00EF7FED"/>
    <w:rsid w:val="00F006C2"/>
    <w:rsid w:val="00F01CF2"/>
    <w:rsid w:val="00F02596"/>
    <w:rsid w:val="00F07AF5"/>
    <w:rsid w:val="00F07E47"/>
    <w:rsid w:val="00F13A05"/>
    <w:rsid w:val="00F22542"/>
    <w:rsid w:val="00F2303E"/>
    <w:rsid w:val="00F30D93"/>
    <w:rsid w:val="00F36643"/>
    <w:rsid w:val="00F37A49"/>
    <w:rsid w:val="00F37CC3"/>
    <w:rsid w:val="00F40DBF"/>
    <w:rsid w:val="00F4440D"/>
    <w:rsid w:val="00F46B31"/>
    <w:rsid w:val="00F50C61"/>
    <w:rsid w:val="00F5269D"/>
    <w:rsid w:val="00F56A6C"/>
    <w:rsid w:val="00F634A2"/>
    <w:rsid w:val="00F6535F"/>
    <w:rsid w:val="00F671D3"/>
    <w:rsid w:val="00F77F2B"/>
    <w:rsid w:val="00F806BE"/>
    <w:rsid w:val="00F81BB9"/>
    <w:rsid w:val="00F81DF2"/>
    <w:rsid w:val="00F91032"/>
    <w:rsid w:val="00F9258E"/>
    <w:rsid w:val="00FA00EF"/>
    <w:rsid w:val="00FA33D2"/>
    <w:rsid w:val="00FA4527"/>
    <w:rsid w:val="00FA789D"/>
    <w:rsid w:val="00FB029A"/>
    <w:rsid w:val="00FB0EED"/>
    <w:rsid w:val="00FB3C06"/>
    <w:rsid w:val="00FB4F51"/>
    <w:rsid w:val="00FB74FD"/>
    <w:rsid w:val="00FC0AAB"/>
    <w:rsid w:val="00FC128D"/>
    <w:rsid w:val="00FC1591"/>
    <w:rsid w:val="00FD6A5E"/>
    <w:rsid w:val="00FE0FE8"/>
    <w:rsid w:val="00FE4C97"/>
    <w:rsid w:val="00FE6D28"/>
    <w:rsid w:val="00FF06DA"/>
    <w:rsid w:val="00FF1F76"/>
    <w:rsid w:val="00FF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AB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KQstem">
    <w:name w:val="KQ stem"/>
    <w:basedOn w:val="Normal"/>
    <w:link w:val="KQstemChar"/>
    <w:uiPriority w:val="99"/>
    <w:rsid w:val="00AB5AB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uiPriority w:val="99"/>
    <w:rsid w:val="00AB5AB6"/>
    <w:rPr>
      <w:rFonts w:ascii="Arial" w:eastAsia="Times New Roman" w:hAnsi="Arial"/>
      <w:sz w:val="19"/>
      <w:shd w:val="clear" w:color="auto" w:fill="FFFFFF"/>
    </w:rPr>
  </w:style>
  <w:style w:type="paragraph" w:customStyle="1" w:styleId="shadedheader">
    <w:name w:val="shaded header"/>
    <w:link w:val="shadedheaderChar"/>
    <w:uiPriority w:val="99"/>
    <w:rsid w:val="00AB5AB6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uiPriority w:val="99"/>
    <w:rsid w:val="00AB5AB6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TitlePageReportNumber">
    <w:name w:val="Title Page Report Number"/>
    <w:basedOn w:val="Normal"/>
    <w:uiPriority w:val="99"/>
    <w:rsid w:val="00AB5AB6"/>
    <w:rPr>
      <w:rFonts w:ascii="Arial" w:eastAsia="Times" w:hAnsi="Arial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AB6"/>
  </w:style>
  <w:style w:type="paragraph" w:customStyle="1" w:styleId="BodyText">
    <w:name w:val="BodyText"/>
    <w:basedOn w:val="Normal"/>
    <w:link w:val="BodyTextChar"/>
    <w:rsid w:val="00AB5A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B5AB6"/>
    <w:rPr>
      <w:rFonts w:ascii="Times" w:eastAsia="Times New Roman" w:hAnsi="Times"/>
      <w:sz w:val="24"/>
    </w:rPr>
  </w:style>
  <w:style w:type="paragraph" w:customStyle="1" w:styleId="Default">
    <w:name w:val="Default"/>
    <w:basedOn w:val="Normal"/>
    <w:uiPriority w:val="99"/>
    <w:rsid w:val="00AB5AB6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customStyle="1" w:styleId="TableGrid4">
    <w:name w:val="Table Grid4"/>
    <w:basedOn w:val="TableNormal"/>
    <w:next w:val="TableGrid"/>
    <w:uiPriority w:val="59"/>
    <w:locked/>
    <w:rsid w:val="00AB5AB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B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B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AB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B5A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B5AB6"/>
    <w:pPr>
      <w:ind w:left="288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3500C"/>
    <w:pPr>
      <w:numPr>
        <w:numId w:val="27"/>
      </w:numPr>
      <w:contextualSpacing/>
    </w:pPr>
  </w:style>
  <w:style w:type="character" w:styleId="Emphasis">
    <w:name w:val="Emphasis"/>
    <w:basedOn w:val="DefaultParagraphFont"/>
    <w:uiPriority w:val="20"/>
    <w:qFormat/>
    <w:rsid w:val="00A07D87"/>
    <w:rPr>
      <w:b/>
      <w:bCs/>
      <w:i w:val="0"/>
      <w:iCs w:val="0"/>
    </w:rPr>
  </w:style>
  <w:style w:type="character" w:customStyle="1" w:styleId="st1">
    <w:name w:val="st1"/>
    <w:basedOn w:val="DefaultParagraphFont"/>
    <w:rsid w:val="00A07D87"/>
  </w:style>
  <w:style w:type="paragraph" w:styleId="HTMLPreformatted">
    <w:name w:val="HTML Preformatted"/>
    <w:basedOn w:val="Normal"/>
    <w:link w:val="HTMLPreformattedChar"/>
    <w:uiPriority w:val="99"/>
    <w:unhideWhenUsed/>
    <w:rsid w:val="00E6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41B3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475CBB"/>
    <w:rPr>
      <w:rFonts w:ascii="Times" w:eastAsia="Times New Roman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23B25"/>
  </w:style>
  <w:style w:type="table" w:customStyle="1" w:styleId="TableGrid6">
    <w:name w:val="Table Grid6"/>
    <w:basedOn w:val="TableNormal"/>
    <w:next w:val="TableGrid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59"/>
    <w:locked/>
    <w:rsid w:val="00623B2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623B25"/>
    <w:pPr>
      <w:ind w:left="2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623B25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23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B25"/>
    <w:rPr>
      <w:rFonts w:eastAsiaTheme="minorHAnsi" w:cstheme="minorBidi"/>
      <w:sz w:val="22"/>
      <w:szCs w:val="21"/>
    </w:rPr>
  </w:style>
  <w:style w:type="character" w:styleId="FollowedHyperlink">
    <w:name w:val="FollowedHyperlink"/>
    <w:basedOn w:val="DefaultParagraphFont"/>
    <w:rsid w:val="00623B25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23B25"/>
  </w:style>
  <w:style w:type="table" w:customStyle="1" w:styleId="AHRQ11">
    <w:name w:val="AHRQ11"/>
    <w:basedOn w:val="TableGrid"/>
    <w:rsid w:val="00623B2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2">
    <w:name w:val="Table Grid22"/>
    <w:basedOn w:val="TableNormal"/>
    <w:next w:val="TableGrid"/>
    <w:rsid w:val="00623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623B25"/>
  </w:style>
  <w:style w:type="table" w:customStyle="1" w:styleId="TableGrid32">
    <w:name w:val="Table Grid32"/>
    <w:basedOn w:val="TableNormal"/>
    <w:next w:val="TableGrid"/>
    <w:uiPriority w:val="59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623B2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623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623B2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AB6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KQstem">
    <w:name w:val="KQ stem"/>
    <w:basedOn w:val="Normal"/>
    <w:link w:val="KQstemChar"/>
    <w:uiPriority w:val="99"/>
    <w:rsid w:val="00AB5AB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uiPriority w:val="99"/>
    <w:rsid w:val="00AB5AB6"/>
    <w:rPr>
      <w:rFonts w:ascii="Arial" w:eastAsia="Times New Roman" w:hAnsi="Arial"/>
      <w:sz w:val="19"/>
      <w:shd w:val="clear" w:color="auto" w:fill="FFFFFF"/>
    </w:rPr>
  </w:style>
  <w:style w:type="paragraph" w:customStyle="1" w:styleId="shadedheader">
    <w:name w:val="shaded header"/>
    <w:link w:val="shadedheaderChar"/>
    <w:uiPriority w:val="99"/>
    <w:rsid w:val="00AB5AB6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uiPriority w:val="99"/>
    <w:rsid w:val="00AB5AB6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TitlePageReportNumber">
    <w:name w:val="Title Page Report Number"/>
    <w:basedOn w:val="Normal"/>
    <w:uiPriority w:val="99"/>
    <w:rsid w:val="00AB5AB6"/>
    <w:rPr>
      <w:rFonts w:ascii="Arial" w:eastAsia="Times" w:hAnsi="Arial"/>
      <w:b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AB6"/>
  </w:style>
  <w:style w:type="paragraph" w:customStyle="1" w:styleId="BodyText">
    <w:name w:val="BodyText"/>
    <w:basedOn w:val="Normal"/>
    <w:link w:val="BodyTextChar"/>
    <w:rsid w:val="00AB5A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B5AB6"/>
    <w:rPr>
      <w:rFonts w:ascii="Times" w:eastAsia="Times New Roman" w:hAnsi="Times"/>
      <w:sz w:val="24"/>
    </w:rPr>
  </w:style>
  <w:style w:type="paragraph" w:customStyle="1" w:styleId="Default">
    <w:name w:val="Default"/>
    <w:basedOn w:val="Normal"/>
    <w:uiPriority w:val="99"/>
    <w:rsid w:val="00AB5AB6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customStyle="1" w:styleId="TableGrid4">
    <w:name w:val="Table Grid4"/>
    <w:basedOn w:val="TableNormal"/>
    <w:next w:val="TableGrid"/>
    <w:uiPriority w:val="59"/>
    <w:locked/>
    <w:rsid w:val="00AB5A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B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B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B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B5A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B5AB6"/>
    <w:pPr>
      <w:ind w:left="288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3500C"/>
    <w:pPr>
      <w:numPr>
        <w:numId w:val="27"/>
      </w:numPr>
      <w:contextualSpacing/>
    </w:pPr>
  </w:style>
  <w:style w:type="character" w:styleId="Emphasis">
    <w:name w:val="Emphasis"/>
    <w:basedOn w:val="DefaultParagraphFont"/>
    <w:uiPriority w:val="20"/>
    <w:qFormat/>
    <w:rsid w:val="00A07D87"/>
    <w:rPr>
      <w:b/>
      <w:bCs/>
      <w:i w:val="0"/>
      <w:iCs w:val="0"/>
    </w:rPr>
  </w:style>
  <w:style w:type="character" w:customStyle="1" w:styleId="st1">
    <w:name w:val="st1"/>
    <w:basedOn w:val="DefaultParagraphFont"/>
    <w:rsid w:val="00A07D87"/>
  </w:style>
  <w:style w:type="paragraph" w:styleId="HTMLPreformatted">
    <w:name w:val="HTML Preformatted"/>
    <w:basedOn w:val="Normal"/>
    <w:link w:val="HTMLPreformattedChar"/>
    <w:uiPriority w:val="99"/>
    <w:unhideWhenUsed/>
    <w:rsid w:val="00E64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41B3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475CBB"/>
    <w:rPr>
      <w:rFonts w:ascii="Times" w:eastAsia="Times New Roman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23B25"/>
  </w:style>
  <w:style w:type="table" w:customStyle="1" w:styleId="TableGrid6">
    <w:name w:val="Table Grid6"/>
    <w:basedOn w:val="TableNormal"/>
    <w:next w:val="TableGrid"/>
    <w:uiPriority w:val="59"/>
    <w:rsid w:val="0062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uiPriority w:val="59"/>
    <w:locked/>
    <w:rsid w:val="00623B2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59"/>
    <w:rsid w:val="0062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uiPriority w:val="99"/>
    <w:rsid w:val="00623B25"/>
    <w:pPr>
      <w:ind w:left="2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623B25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23B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B25"/>
    <w:rPr>
      <w:rFonts w:eastAsiaTheme="minorHAnsi" w:cstheme="minorBidi"/>
      <w:sz w:val="22"/>
      <w:szCs w:val="21"/>
    </w:rPr>
  </w:style>
  <w:style w:type="character" w:styleId="FollowedHyperlink">
    <w:name w:val="FollowedHyperlink"/>
    <w:basedOn w:val="DefaultParagraphFont"/>
    <w:rsid w:val="00623B25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23B25"/>
  </w:style>
  <w:style w:type="table" w:customStyle="1" w:styleId="AHRQ11">
    <w:name w:val="AHRQ11"/>
    <w:basedOn w:val="TableGrid"/>
    <w:rsid w:val="00623B2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2">
    <w:name w:val="Table Grid22"/>
    <w:basedOn w:val="TableNormal"/>
    <w:next w:val="TableGrid"/>
    <w:rsid w:val="00623B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23B25"/>
  </w:style>
  <w:style w:type="table" w:customStyle="1" w:styleId="TableGrid32">
    <w:name w:val="Table Grid32"/>
    <w:basedOn w:val="TableNormal"/>
    <w:next w:val="TableGrid"/>
    <w:uiPriority w:val="59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623B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623B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623B25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AC67-0282-4BA6-B083-0BCB948F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4730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tec0015</cp:lastModifiedBy>
  <cp:revision>8</cp:revision>
  <cp:lastPrinted>2015-01-21T16:34:00Z</cp:lastPrinted>
  <dcterms:created xsi:type="dcterms:W3CDTF">2015-01-21T21:42:00Z</dcterms:created>
  <dcterms:modified xsi:type="dcterms:W3CDTF">2015-02-12T07:44:00Z</dcterms:modified>
</cp:coreProperties>
</file>