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25" w:rsidRPr="0011597C" w:rsidRDefault="00623B25" w:rsidP="00623B25">
      <w:pPr>
        <w:keepNext/>
        <w:ind w:left="90"/>
        <w:rPr>
          <w:rFonts w:ascii="Arial" w:eastAsia="Calibri" w:hAnsi="Arial"/>
          <w:b/>
          <w:color w:val="000000"/>
          <w:sz w:val="20"/>
          <w:szCs w:val="24"/>
        </w:rPr>
      </w:pPr>
      <w:r w:rsidRPr="0011597C">
        <w:rPr>
          <w:rFonts w:ascii="Arial" w:eastAsia="Calibri" w:hAnsi="Arial"/>
          <w:b/>
          <w:color w:val="000000"/>
          <w:sz w:val="20"/>
          <w:szCs w:val="24"/>
        </w:rPr>
        <w:t>Appendix Table E12. Quality issues and risk of bias summary for pooled analyses of patient-level randomized clinical trial data on fibromyalgia subgroups</w:t>
      </w:r>
    </w:p>
    <w:tbl>
      <w:tblPr>
        <w:tblStyle w:val="TableGrid5"/>
        <w:tblW w:w="5000" w:type="pct"/>
        <w:tblLayout w:type="fixed"/>
        <w:tblLook w:val="04A0"/>
      </w:tblPr>
      <w:tblGrid>
        <w:gridCol w:w="1991"/>
        <w:gridCol w:w="1815"/>
        <w:gridCol w:w="2178"/>
        <w:gridCol w:w="7192"/>
      </w:tblGrid>
      <w:tr w:rsidR="00623B25" w:rsidRPr="0011597C" w:rsidTr="008534B0">
        <w:trPr>
          <w:cantSplit/>
          <w:tblHeader/>
        </w:trPr>
        <w:tc>
          <w:tcPr>
            <w:tcW w:w="1991" w:type="dxa"/>
            <w:shd w:val="clear" w:color="auto" w:fill="auto"/>
          </w:tcPr>
          <w:p w:rsidR="00623B25" w:rsidRPr="0011597C" w:rsidRDefault="00623B25" w:rsidP="008534B0">
            <w:pPr>
              <w:ind w:left="0"/>
              <w:rPr>
                <w:rFonts w:ascii="Arial" w:hAnsi="Arial" w:cs="Arial"/>
                <w:sz w:val="18"/>
                <w:szCs w:val="18"/>
              </w:rPr>
            </w:pPr>
            <w:r w:rsidRPr="0011597C">
              <w:rPr>
                <w:rFonts w:ascii="Arial" w:hAnsi="Arial" w:cs="Arial"/>
                <w:b/>
                <w:sz w:val="18"/>
                <w:szCs w:val="18"/>
              </w:rPr>
              <w:t>Study</w:t>
            </w:r>
          </w:p>
        </w:tc>
        <w:tc>
          <w:tcPr>
            <w:tcW w:w="1815" w:type="dxa"/>
          </w:tcPr>
          <w:p w:rsidR="00623B25" w:rsidRPr="0011597C" w:rsidRDefault="00623B25" w:rsidP="008534B0">
            <w:pPr>
              <w:ind w:left="72"/>
              <w:rPr>
                <w:rFonts w:ascii="Arial" w:hAnsi="Arial" w:cs="Arial"/>
                <w:b/>
                <w:sz w:val="18"/>
                <w:szCs w:val="18"/>
              </w:rPr>
            </w:pPr>
            <w:r w:rsidRPr="0011597C">
              <w:rPr>
                <w:rFonts w:ascii="Arial" w:hAnsi="Arial" w:cs="Arial"/>
                <w:b/>
                <w:sz w:val="18"/>
                <w:szCs w:val="18"/>
              </w:rPr>
              <w:t>Pooled RCTs</w:t>
            </w:r>
          </w:p>
        </w:tc>
        <w:tc>
          <w:tcPr>
            <w:tcW w:w="2178" w:type="dxa"/>
            <w:shd w:val="clear" w:color="auto" w:fill="auto"/>
          </w:tcPr>
          <w:p w:rsidR="00623B25" w:rsidRPr="0011597C" w:rsidRDefault="00623B25" w:rsidP="008534B0">
            <w:pPr>
              <w:ind w:left="72"/>
              <w:rPr>
                <w:rFonts w:ascii="Arial" w:hAnsi="Arial" w:cs="Arial"/>
                <w:sz w:val="18"/>
                <w:szCs w:val="18"/>
              </w:rPr>
            </w:pPr>
            <w:r w:rsidRPr="0011597C">
              <w:rPr>
                <w:rFonts w:ascii="Arial" w:hAnsi="Arial" w:cs="Arial"/>
                <w:b/>
                <w:sz w:val="18"/>
                <w:szCs w:val="18"/>
              </w:rPr>
              <w:t>Overall Risk of Bias Assessment</w:t>
            </w:r>
          </w:p>
        </w:tc>
        <w:tc>
          <w:tcPr>
            <w:tcW w:w="7192" w:type="dxa"/>
            <w:shd w:val="clear" w:color="auto" w:fill="auto"/>
          </w:tcPr>
          <w:p w:rsidR="00623B25" w:rsidRPr="0011597C" w:rsidRDefault="00623B25" w:rsidP="008534B0">
            <w:pPr>
              <w:ind w:left="46"/>
              <w:rPr>
                <w:rFonts w:ascii="Arial" w:hAnsi="Arial" w:cs="Arial"/>
                <w:sz w:val="18"/>
                <w:szCs w:val="18"/>
              </w:rPr>
            </w:pPr>
            <w:r w:rsidRPr="0011597C">
              <w:rPr>
                <w:rFonts w:ascii="Arial" w:hAnsi="Arial" w:cs="Arial"/>
                <w:b/>
                <w:sz w:val="18"/>
                <w:szCs w:val="18"/>
              </w:rPr>
              <w:t>Rationale</w:t>
            </w:r>
          </w:p>
        </w:tc>
      </w:tr>
      <w:tr w:rsidR="00623B25" w:rsidRPr="0011597C" w:rsidTr="008534B0">
        <w:trPr>
          <w:cantSplit/>
        </w:trPr>
        <w:tc>
          <w:tcPr>
            <w:tcW w:w="1991" w:type="dxa"/>
            <w:shd w:val="clear" w:color="auto" w:fill="D9D9D9"/>
          </w:tcPr>
          <w:p w:rsidR="00623B25" w:rsidRPr="0011597C" w:rsidRDefault="00623B25" w:rsidP="008534B0">
            <w:pPr>
              <w:ind w:left="0"/>
              <w:rPr>
                <w:rFonts w:ascii="Arial" w:hAnsi="Arial" w:cs="Arial"/>
                <w:b/>
                <w:sz w:val="18"/>
                <w:szCs w:val="18"/>
              </w:rPr>
            </w:pPr>
            <w:r w:rsidRPr="0011597C">
              <w:rPr>
                <w:rFonts w:ascii="Arial" w:hAnsi="Arial" w:cs="Arial"/>
                <w:b/>
                <w:sz w:val="18"/>
                <w:szCs w:val="18"/>
              </w:rPr>
              <w:t xml:space="preserve">Pharmacologic </w:t>
            </w:r>
            <w:r w:rsidRPr="0011597C">
              <w:rPr>
                <w:rFonts w:ascii="Arial" w:hAnsi="Arial" w:cs="Arial"/>
                <w:sz w:val="18"/>
                <w:szCs w:val="18"/>
              </w:rPr>
              <w:t>(all)</w:t>
            </w:r>
          </w:p>
        </w:tc>
        <w:tc>
          <w:tcPr>
            <w:tcW w:w="1815" w:type="dxa"/>
            <w:shd w:val="clear" w:color="auto" w:fill="D9D9D9"/>
          </w:tcPr>
          <w:p w:rsidR="00623B25" w:rsidRPr="0011597C" w:rsidRDefault="00623B25" w:rsidP="008534B0">
            <w:pPr>
              <w:ind w:left="72"/>
              <w:rPr>
                <w:rFonts w:ascii="Arial" w:hAnsi="Arial" w:cs="Arial"/>
                <w:sz w:val="18"/>
                <w:szCs w:val="18"/>
              </w:rPr>
            </w:pPr>
          </w:p>
        </w:tc>
        <w:tc>
          <w:tcPr>
            <w:tcW w:w="2178" w:type="dxa"/>
            <w:shd w:val="clear" w:color="auto" w:fill="D9D9D9"/>
          </w:tcPr>
          <w:p w:rsidR="00623B25" w:rsidRPr="0011597C" w:rsidRDefault="00623B25" w:rsidP="008534B0">
            <w:pPr>
              <w:ind w:left="72"/>
              <w:rPr>
                <w:rFonts w:ascii="Arial" w:hAnsi="Arial" w:cs="Arial"/>
                <w:sz w:val="18"/>
                <w:szCs w:val="18"/>
              </w:rPr>
            </w:pPr>
          </w:p>
        </w:tc>
        <w:tc>
          <w:tcPr>
            <w:tcW w:w="7192" w:type="dxa"/>
            <w:shd w:val="clear" w:color="auto" w:fill="D9D9D9"/>
          </w:tcPr>
          <w:p w:rsidR="00623B25" w:rsidRPr="0011597C" w:rsidRDefault="00623B25" w:rsidP="008534B0">
            <w:pPr>
              <w:ind w:left="46"/>
              <w:rPr>
                <w:rFonts w:ascii="Arial" w:hAnsi="Arial" w:cs="Arial"/>
                <w:sz w:val="18"/>
                <w:szCs w:val="18"/>
              </w:rPr>
            </w:pP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b/>
                <w:sz w:val="18"/>
                <w:szCs w:val="18"/>
              </w:rPr>
            </w:pPr>
            <w:proofErr w:type="spellStart"/>
            <w:r w:rsidRPr="0011597C">
              <w:rPr>
                <w:rFonts w:ascii="Arial" w:hAnsi="Arial" w:cs="Arial"/>
                <w:b/>
                <w:sz w:val="18"/>
                <w:szCs w:val="18"/>
              </w:rPr>
              <w:t>Duloxetine</w:t>
            </w:r>
            <w:proofErr w:type="spellEnd"/>
          </w:p>
        </w:tc>
        <w:tc>
          <w:tcPr>
            <w:tcW w:w="1815" w:type="dxa"/>
          </w:tcPr>
          <w:p w:rsidR="00623B25" w:rsidRPr="0011597C" w:rsidRDefault="00623B25" w:rsidP="008534B0">
            <w:pPr>
              <w:ind w:left="72"/>
              <w:rPr>
                <w:rFonts w:ascii="Arial" w:hAnsi="Arial" w:cs="Arial"/>
                <w:sz w:val="18"/>
                <w:szCs w:val="18"/>
              </w:rPr>
            </w:pPr>
          </w:p>
        </w:tc>
        <w:tc>
          <w:tcPr>
            <w:tcW w:w="2178" w:type="dxa"/>
            <w:shd w:val="clear" w:color="auto" w:fill="auto"/>
          </w:tcPr>
          <w:p w:rsidR="00623B25" w:rsidRPr="0011597C" w:rsidRDefault="00623B25" w:rsidP="008534B0">
            <w:pPr>
              <w:ind w:left="72"/>
              <w:rPr>
                <w:rFonts w:ascii="Arial" w:hAnsi="Arial" w:cs="Arial"/>
                <w:sz w:val="18"/>
                <w:szCs w:val="18"/>
              </w:rPr>
            </w:pPr>
          </w:p>
        </w:tc>
        <w:tc>
          <w:tcPr>
            <w:tcW w:w="7192" w:type="dxa"/>
            <w:shd w:val="clear" w:color="auto" w:fill="auto"/>
          </w:tcPr>
          <w:p w:rsidR="00623B25" w:rsidRPr="0011597C" w:rsidRDefault="00623B25" w:rsidP="008534B0">
            <w:pPr>
              <w:ind w:left="46"/>
              <w:rPr>
                <w:rFonts w:ascii="Arial" w:hAnsi="Arial" w:cs="Arial"/>
                <w:sz w:val="18"/>
                <w:szCs w:val="18"/>
              </w:rPr>
            </w:pP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b/>
                <w:sz w:val="18"/>
                <w:szCs w:val="18"/>
              </w:rPr>
            </w:pPr>
            <w:r w:rsidRPr="0011597C">
              <w:rPr>
                <w:rFonts w:ascii="Arial" w:hAnsi="Arial" w:cs="Arial"/>
                <w:sz w:val="18"/>
                <w:szCs w:val="18"/>
              </w:rPr>
              <w:t>Bennett, 2012</w:t>
            </w:r>
            <w:r w:rsidRPr="0011597C">
              <w:rPr>
                <w:rFonts w:ascii="Arial" w:hAnsi="Arial" w:cs="Arial"/>
                <w:noProof/>
                <w:sz w:val="18"/>
                <w:szCs w:val="18"/>
                <w:vertAlign w:val="superscript"/>
              </w:rPr>
              <w:t>24</w:t>
            </w:r>
          </w:p>
        </w:tc>
        <w:tc>
          <w:tcPr>
            <w:tcW w:w="1815" w:type="dxa"/>
          </w:tcPr>
          <w:p w:rsidR="00623B25" w:rsidRPr="0011597C" w:rsidRDefault="00623B25" w:rsidP="008534B0">
            <w:pPr>
              <w:ind w:left="72"/>
              <w:rPr>
                <w:rFonts w:ascii="Arial" w:hAnsi="Arial" w:cs="Arial"/>
                <w:sz w:val="18"/>
                <w:szCs w:val="18"/>
              </w:rPr>
            </w:pPr>
            <w:r w:rsidRPr="0011597C">
              <w:rPr>
                <w:rFonts w:ascii="Arial" w:hAnsi="Arial" w:cs="Arial"/>
                <w:sz w:val="18"/>
                <w:szCs w:val="18"/>
              </w:rPr>
              <w:t>Chappell, 2008</w:t>
            </w:r>
            <w:r w:rsidRPr="0011597C">
              <w:rPr>
                <w:rFonts w:ascii="Arial" w:hAnsi="Arial" w:cs="Arial"/>
                <w:noProof/>
                <w:sz w:val="18"/>
                <w:szCs w:val="18"/>
                <w:vertAlign w:val="superscript"/>
              </w:rPr>
              <w:t>3</w:t>
            </w:r>
          </w:p>
          <w:p w:rsidR="00623B25" w:rsidRPr="0011597C" w:rsidRDefault="00623B25" w:rsidP="008534B0">
            <w:pPr>
              <w:ind w:left="72"/>
              <w:rPr>
                <w:rFonts w:ascii="Arial" w:hAnsi="Arial" w:cs="Arial"/>
                <w:sz w:val="18"/>
                <w:szCs w:val="18"/>
              </w:rPr>
            </w:pPr>
            <w:r w:rsidRPr="0011597C">
              <w:rPr>
                <w:rFonts w:ascii="Arial" w:hAnsi="Arial" w:cs="Arial"/>
                <w:sz w:val="18"/>
                <w:szCs w:val="18"/>
              </w:rPr>
              <w:t>Russell, 2008</w:t>
            </w:r>
            <w:r w:rsidRPr="0011597C">
              <w:rPr>
                <w:rFonts w:ascii="Arial" w:hAnsi="Arial" w:cs="Arial"/>
                <w:noProof/>
                <w:sz w:val="18"/>
                <w:szCs w:val="18"/>
                <w:vertAlign w:val="superscript"/>
              </w:rPr>
              <w:t>4</w:t>
            </w:r>
          </w:p>
          <w:p w:rsidR="00623B25" w:rsidRPr="0011597C" w:rsidRDefault="00623B25" w:rsidP="008534B0">
            <w:pPr>
              <w:ind w:left="72"/>
              <w:rPr>
                <w:rFonts w:ascii="Arial" w:hAnsi="Arial" w:cs="Arial"/>
                <w:sz w:val="18"/>
                <w:szCs w:val="18"/>
              </w:rPr>
            </w:pPr>
            <w:r w:rsidRPr="0011597C">
              <w:rPr>
                <w:rFonts w:ascii="Arial" w:hAnsi="Arial" w:cs="Arial"/>
                <w:sz w:val="18"/>
                <w:szCs w:val="18"/>
              </w:rPr>
              <w:t>Arnold, 2005</w:t>
            </w:r>
            <w:r w:rsidRPr="0011597C">
              <w:rPr>
                <w:rFonts w:ascii="Arial" w:hAnsi="Arial" w:cs="Arial"/>
                <w:noProof/>
                <w:sz w:val="18"/>
                <w:szCs w:val="18"/>
                <w:vertAlign w:val="superscript"/>
              </w:rPr>
              <w:t>5</w:t>
            </w:r>
          </w:p>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Arnold, 2004</w:t>
            </w:r>
            <w:r w:rsidRPr="0011597C">
              <w:rPr>
                <w:rFonts w:ascii="Arial" w:hAnsi="Arial" w:cs="Arial"/>
                <w:noProof/>
                <w:sz w:val="18"/>
                <w:szCs w:val="18"/>
                <w:vertAlign w:val="superscript"/>
              </w:rPr>
              <w:t>6</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Pooled: issues detailed in rationale</w:t>
            </w:r>
          </w:p>
        </w:tc>
        <w:tc>
          <w:tcPr>
            <w:tcW w:w="7192" w:type="dxa"/>
            <w:shd w:val="clear" w:color="auto" w:fill="auto"/>
          </w:tcPr>
          <w:p w:rsidR="00623B25" w:rsidRPr="0011597C" w:rsidRDefault="00623B25" w:rsidP="008534B0">
            <w:pPr>
              <w:ind w:left="46"/>
              <w:rPr>
                <w:rFonts w:ascii="Arial" w:hAnsi="Arial" w:cs="Arial"/>
                <w:sz w:val="18"/>
                <w:szCs w:val="18"/>
              </w:rPr>
            </w:pPr>
            <w:r w:rsidRPr="0011597C">
              <w:rPr>
                <w:rFonts w:ascii="Arial" w:hAnsi="Arial" w:cs="Arial"/>
                <w:sz w:val="18"/>
                <w:szCs w:val="18"/>
              </w:rPr>
              <w:t>Pooled: No a priori hypothesis of direction of treatment effect in subgroups, outcome measure is subscale of common tool but subscale has not been formally validated, study power not discussed, no adjustments made for multiple comparisons and less stringent statistical criteria used to evaluate treatment-by-subgroup interaction, attrition not discussed despite high attrition in input RCTs, small sample size in certain subgroup strata (e.g., extreme obesity)</w:t>
            </w:r>
          </w:p>
          <w:p w:rsidR="00623B25" w:rsidRPr="0011597C" w:rsidRDefault="00623B25" w:rsidP="008534B0">
            <w:pPr>
              <w:ind w:left="46"/>
              <w:rPr>
                <w:rFonts w:ascii="Arial" w:hAnsi="Arial" w:cs="Arial"/>
                <w:b/>
                <w:color w:val="000000"/>
                <w:sz w:val="18"/>
                <w:szCs w:val="18"/>
              </w:rPr>
            </w:pPr>
          </w:p>
          <w:p w:rsidR="00623B25" w:rsidRPr="0011597C" w:rsidRDefault="00623B25" w:rsidP="008534B0">
            <w:pPr>
              <w:ind w:left="46"/>
              <w:rPr>
                <w:rFonts w:ascii="Arial" w:hAnsi="Arial" w:cs="Arial"/>
                <w:sz w:val="18"/>
                <w:szCs w:val="18"/>
              </w:rPr>
            </w:pPr>
            <w:r w:rsidRPr="0011597C">
              <w:rPr>
                <w:rFonts w:ascii="Arial" w:hAnsi="Arial" w:cs="Arial"/>
                <w:color w:val="000000"/>
                <w:sz w:val="18"/>
                <w:szCs w:val="18"/>
              </w:rPr>
              <w:t>Used optimal individual patient data (IPD) pooled analytic technique (Fischer et al. 2011)</w:t>
            </w:r>
            <w:r w:rsidRPr="0011597C">
              <w:rPr>
                <w:rFonts w:ascii="Arial" w:hAnsi="Arial" w:cs="Arial"/>
                <w:noProof/>
                <w:color w:val="000000"/>
                <w:sz w:val="18"/>
                <w:szCs w:val="18"/>
                <w:vertAlign w:val="superscript"/>
              </w:rPr>
              <w:t>44</w:t>
            </w:r>
            <w:r w:rsidRPr="0011597C">
              <w:rPr>
                <w:rFonts w:ascii="Arial" w:hAnsi="Arial" w:cs="Arial"/>
                <w:color w:val="000000"/>
                <w:sz w:val="18"/>
                <w:szCs w:val="18"/>
              </w:rPr>
              <w:t xml:space="preserve"> study blinding</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(all 4 studies)</w:t>
            </w: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r w:rsidRPr="0011597C">
              <w:rPr>
                <w:rFonts w:ascii="Arial" w:hAnsi="Arial" w:cs="Arial"/>
                <w:sz w:val="18"/>
                <w:szCs w:val="18"/>
              </w:rPr>
              <w:t>Bradley, 2010</w:t>
            </w:r>
            <w:r w:rsidRPr="0011597C">
              <w:rPr>
                <w:rFonts w:ascii="Arial" w:hAnsi="Arial" w:cs="Arial"/>
                <w:noProof/>
                <w:sz w:val="18"/>
                <w:szCs w:val="18"/>
                <w:vertAlign w:val="superscript"/>
              </w:rPr>
              <w:t>25</w:t>
            </w:r>
          </w:p>
        </w:tc>
        <w:tc>
          <w:tcPr>
            <w:tcW w:w="1815" w:type="dxa"/>
          </w:tcPr>
          <w:p w:rsidR="00623B25" w:rsidRPr="0011597C" w:rsidRDefault="00623B25" w:rsidP="008534B0">
            <w:pPr>
              <w:ind w:left="72"/>
              <w:rPr>
                <w:rFonts w:ascii="Arial" w:hAnsi="Arial" w:cs="Arial"/>
                <w:sz w:val="18"/>
                <w:szCs w:val="18"/>
              </w:rPr>
            </w:pPr>
            <w:r w:rsidRPr="0011597C">
              <w:rPr>
                <w:rFonts w:ascii="Arial" w:hAnsi="Arial" w:cs="Arial"/>
                <w:sz w:val="18"/>
                <w:szCs w:val="18"/>
              </w:rPr>
              <w:t>Chappell, 2008</w:t>
            </w:r>
            <w:r w:rsidRPr="0011597C">
              <w:rPr>
                <w:rFonts w:ascii="Arial" w:hAnsi="Arial" w:cs="Arial"/>
                <w:noProof/>
                <w:sz w:val="18"/>
                <w:szCs w:val="18"/>
                <w:vertAlign w:val="superscript"/>
              </w:rPr>
              <w:t>3</w:t>
            </w:r>
          </w:p>
          <w:p w:rsidR="00623B25" w:rsidRPr="0011597C" w:rsidRDefault="00623B25" w:rsidP="008534B0">
            <w:pPr>
              <w:ind w:left="72"/>
              <w:rPr>
                <w:rFonts w:ascii="Arial" w:hAnsi="Arial" w:cs="Arial"/>
                <w:sz w:val="18"/>
                <w:szCs w:val="18"/>
              </w:rPr>
            </w:pPr>
            <w:r w:rsidRPr="0011597C">
              <w:rPr>
                <w:rFonts w:ascii="Arial" w:hAnsi="Arial" w:cs="Arial"/>
                <w:sz w:val="18"/>
                <w:szCs w:val="18"/>
              </w:rPr>
              <w:t>Russell, 2008</w:t>
            </w:r>
            <w:r w:rsidRPr="0011597C">
              <w:rPr>
                <w:rFonts w:ascii="Arial" w:hAnsi="Arial" w:cs="Arial"/>
                <w:noProof/>
                <w:sz w:val="18"/>
                <w:szCs w:val="18"/>
                <w:vertAlign w:val="superscript"/>
              </w:rPr>
              <w:t>4</w:t>
            </w:r>
          </w:p>
          <w:p w:rsidR="00623B25" w:rsidRPr="0011597C" w:rsidRDefault="00623B25" w:rsidP="008534B0">
            <w:pPr>
              <w:ind w:left="72"/>
              <w:rPr>
                <w:rFonts w:ascii="Arial" w:hAnsi="Arial" w:cs="Arial"/>
                <w:sz w:val="18"/>
                <w:szCs w:val="18"/>
              </w:rPr>
            </w:pPr>
            <w:r w:rsidRPr="0011597C">
              <w:rPr>
                <w:rFonts w:ascii="Arial" w:hAnsi="Arial" w:cs="Arial"/>
                <w:sz w:val="18"/>
                <w:szCs w:val="18"/>
              </w:rPr>
              <w:t>Arnold, 2005</w:t>
            </w:r>
            <w:r w:rsidRPr="0011597C">
              <w:rPr>
                <w:rFonts w:ascii="Arial" w:hAnsi="Arial" w:cs="Arial"/>
                <w:noProof/>
                <w:sz w:val="18"/>
                <w:szCs w:val="18"/>
                <w:vertAlign w:val="superscript"/>
              </w:rPr>
              <w:t>5</w:t>
            </w:r>
          </w:p>
          <w:p w:rsidR="00623B25" w:rsidRPr="0011597C" w:rsidRDefault="00623B25" w:rsidP="008534B0">
            <w:pPr>
              <w:ind w:left="72"/>
              <w:rPr>
                <w:rFonts w:ascii="Arial" w:hAnsi="Arial" w:cs="Arial"/>
                <w:sz w:val="18"/>
                <w:szCs w:val="18"/>
              </w:rPr>
            </w:pPr>
            <w:r w:rsidRPr="0011597C">
              <w:rPr>
                <w:rFonts w:ascii="Arial" w:hAnsi="Arial" w:cs="Arial"/>
                <w:sz w:val="18"/>
                <w:szCs w:val="18"/>
              </w:rPr>
              <w:t>Arnold, 2004</w:t>
            </w:r>
            <w:r w:rsidRPr="0011597C">
              <w:rPr>
                <w:rFonts w:ascii="Arial" w:hAnsi="Arial" w:cs="Arial"/>
                <w:noProof/>
                <w:sz w:val="18"/>
                <w:szCs w:val="18"/>
                <w:vertAlign w:val="superscript"/>
              </w:rPr>
              <w:t>6</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ind w:left="72"/>
              <w:rPr>
                <w:rFonts w:ascii="Arial" w:hAnsi="Arial" w:cs="Arial"/>
                <w:sz w:val="18"/>
                <w:szCs w:val="18"/>
              </w:rPr>
            </w:pPr>
            <w:r w:rsidRPr="0011597C">
              <w:rPr>
                <w:rFonts w:ascii="Arial" w:hAnsi="Arial" w:cs="Arial"/>
                <w:sz w:val="18"/>
                <w:szCs w:val="18"/>
              </w:rPr>
              <w:t>Pooled: issues detailed in rationale</w:t>
            </w:r>
          </w:p>
        </w:tc>
        <w:tc>
          <w:tcPr>
            <w:tcW w:w="7192" w:type="dxa"/>
          </w:tcPr>
          <w:p w:rsidR="00623B25" w:rsidRPr="0011597C" w:rsidRDefault="00623B25" w:rsidP="008534B0">
            <w:pPr>
              <w:ind w:left="46"/>
              <w:rPr>
                <w:rFonts w:ascii="Arial" w:hAnsi="Arial" w:cs="Arial"/>
                <w:sz w:val="18"/>
                <w:szCs w:val="18"/>
              </w:rPr>
            </w:pPr>
            <w:r w:rsidRPr="0011597C">
              <w:rPr>
                <w:rFonts w:ascii="Arial" w:hAnsi="Arial" w:cs="Arial"/>
                <w:sz w:val="18"/>
                <w:szCs w:val="18"/>
              </w:rPr>
              <w:t xml:space="preserve">Pooled: No a priori hypothesis of direction of treatment effect in subgroups, study power not discussed, no adjustments for multiple comparisons and less stringent statistical criteria used to evaluate treatment-by-subgroup interactions, </w:t>
            </w:r>
            <w:r w:rsidRPr="0011597C">
              <w:rPr>
                <w:rFonts w:ascii="Arial" w:hAnsi="Arial" w:cs="Arial"/>
                <w:color w:val="000000"/>
                <w:sz w:val="18"/>
                <w:szCs w:val="18"/>
              </w:rPr>
              <w:t xml:space="preserve">attrition not discussed despite high attrition in input RCTs, some selective reporting in results presentation, small sample size in certain subgroup strata (e.g., FIQ tiredness, mile group), different </w:t>
            </w:r>
            <w:proofErr w:type="spellStart"/>
            <w:r w:rsidRPr="0011597C">
              <w:rPr>
                <w:rFonts w:ascii="Arial" w:hAnsi="Arial" w:cs="Arial"/>
                <w:color w:val="000000"/>
                <w:sz w:val="18"/>
                <w:szCs w:val="18"/>
              </w:rPr>
              <w:t>duloxetine</w:t>
            </w:r>
            <w:proofErr w:type="spellEnd"/>
            <w:r w:rsidRPr="0011597C">
              <w:rPr>
                <w:rFonts w:ascii="Arial" w:hAnsi="Arial" w:cs="Arial"/>
                <w:color w:val="000000"/>
                <w:sz w:val="18"/>
                <w:szCs w:val="18"/>
              </w:rPr>
              <w:t xml:space="preserve"> doses combined analysis (with rationale)</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color w:val="000000"/>
                <w:sz w:val="18"/>
                <w:szCs w:val="18"/>
              </w:rPr>
              <w:t>Used optimal individual patient data (IPD) pooled analytic technique (Fischer et al. 2011)</w:t>
            </w:r>
            <w:r w:rsidRPr="0011597C">
              <w:rPr>
                <w:rFonts w:ascii="Arial" w:hAnsi="Arial" w:cs="Arial"/>
                <w:noProof/>
                <w:color w:val="000000"/>
                <w:sz w:val="18"/>
                <w:szCs w:val="18"/>
                <w:vertAlign w:val="superscript"/>
              </w:rPr>
              <w:t>44</w:t>
            </w:r>
            <w:r w:rsidRPr="0011597C">
              <w:rPr>
                <w:rFonts w:ascii="Arial" w:hAnsi="Arial" w:cs="Arial"/>
                <w:color w:val="000000"/>
                <w:sz w:val="18"/>
                <w:szCs w:val="18"/>
              </w:rPr>
              <w:t xml:space="preserve"> study blinding</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(all 4 studies)</w:t>
            </w: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r w:rsidRPr="0011597C">
              <w:rPr>
                <w:rFonts w:ascii="Arial" w:hAnsi="Arial" w:cs="Arial"/>
                <w:sz w:val="18"/>
                <w:szCs w:val="18"/>
              </w:rPr>
              <w:t>Arnold, 2009</w:t>
            </w:r>
            <w:r w:rsidRPr="0011597C">
              <w:rPr>
                <w:rFonts w:ascii="Arial" w:hAnsi="Arial" w:cs="Arial"/>
                <w:noProof/>
                <w:sz w:val="18"/>
                <w:szCs w:val="18"/>
                <w:vertAlign w:val="superscript"/>
              </w:rPr>
              <w:t>26</w:t>
            </w:r>
          </w:p>
        </w:tc>
        <w:tc>
          <w:tcPr>
            <w:tcW w:w="1815" w:type="dxa"/>
          </w:tcPr>
          <w:p w:rsidR="00623B25" w:rsidRPr="0011597C" w:rsidRDefault="00623B25" w:rsidP="008534B0">
            <w:pPr>
              <w:ind w:left="72"/>
              <w:rPr>
                <w:rFonts w:ascii="Arial" w:hAnsi="Arial" w:cs="Arial"/>
                <w:sz w:val="18"/>
                <w:szCs w:val="18"/>
              </w:rPr>
            </w:pPr>
            <w:r w:rsidRPr="0011597C">
              <w:rPr>
                <w:rFonts w:ascii="Arial" w:hAnsi="Arial" w:cs="Arial"/>
                <w:sz w:val="18"/>
                <w:szCs w:val="18"/>
              </w:rPr>
              <w:t>Chappell, 2008</w:t>
            </w:r>
            <w:r w:rsidRPr="0011597C">
              <w:rPr>
                <w:rFonts w:ascii="Arial" w:hAnsi="Arial" w:cs="Arial"/>
                <w:noProof/>
                <w:sz w:val="18"/>
                <w:szCs w:val="18"/>
                <w:vertAlign w:val="superscript"/>
              </w:rPr>
              <w:t>3</w:t>
            </w:r>
          </w:p>
          <w:p w:rsidR="00623B25" w:rsidRPr="0011597C" w:rsidRDefault="00623B25" w:rsidP="008534B0">
            <w:pPr>
              <w:ind w:left="72"/>
              <w:rPr>
                <w:rFonts w:ascii="Arial" w:hAnsi="Arial" w:cs="Arial"/>
                <w:sz w:val="18"/>
                <w:szCs w:val="18"/>
              </w:rPr>
            </w:pPr>
            <w:r w:rsidRPr="0011597C">
              <w:rPr>
                <w:rFonts w:ascii="Arial" w:hAnsi="Arial" w:cs="Arial"/>
                <w:sz w:val="18"/>
                <w:szCs w:val="18"/>
              </w:rPr>
              <w:t>Russell, 2008</w:t>
            </w:r>
            <w:r w:rsidRPr="0011597C">
              <w:rPr>
                <w:rFonts w:ascii="Arial" w:hAnsi="Arial" w:cs="Arial"/>
                <w:noProof/>
                <w:sz w:val="18"/>
                <w:szCs w:val="18"/>
                <w:vertAlign w:val="superscript"/>
              </w:rPr>
              <w:t>4</w:t>
            </w:r>
          </w:p>
          <w:p w:rsidR="00623B25" w:rsidRPr="0011597C" w:rsidRDefault="00623B25" w:rsidP="008534B0">
            <w:pPr>
              <w:ind w:left="72"/>
              <w:rPr>
                <w:rFonts w:ascii="Arial" w:hAnsi="Arial" w:cs="Arial"/>
                <w:sz w:val="18"/>
                <w:szCs w:val="18"/>
              </w:rPr>
            </w:pPr>
            <w:r w:rsidRPr="0011597C">
              <w:rPr>
                <w:rFonts w:ascii="Arial" w:hAnsi="Arial" w:cs="Arial"/>
                <w:sz w:val="18"/>
                <w:szCs w:val="18"/>
              </w:rPr>
              <w:t>Arnold, 2005</w:t>
            </w:r>
            <w:r w:rsidRPr="0011597C">
              <w:rPr>
                <w:rFonts w:ascii="Arial" w:hAnsi="Arial" w:cs="Arial"/>
                <w:noProof/>
                <w:sz w:val="18"/>
                <w:szCs w:val="18"/>
                <w:vertAlign w:val="superscript"/>
              </w:rPr>
              <w:t>5</w:t>
            </w:r>
          </w:p>
          <w:p w:rsidR="00623B25" w:rsidRPr="0011597C" w:rsidRDefault="00623B25" w:rsidP="008534B0">
            <w:pPr>
              <w:ind w:left="72"/>
              <w:rPr>
                <w:rFonts w:ascii="Arial" w:hAnsi="Arial" w:cs="Arial"/>
                <w:sz w:val="18"/>
                <w:szCs w:val="18"/>
              </w:rPr>
            </w:pPr>
            <w:r w:rsidRPr="0011597C">
              <w:rPr>
                <w:rFonts w:ascii="Arial" w:hAnsi="Arial" w:cs="Arial"/>
                <w:sz w:val="18"/>
                <w:szCs w:val="18"/>
              </w:rPr>
              <w:t>Arnold, 2004</w:t>
            </w:r>
            <w:r w:rsidRPr="0011597C">
              <w:rPr>
                <w:rFonts w:ascii="Arial" w:hAnsi="Arial" w:cs="Arial"/>
                <w:noProof/>
                <w:sz w:val="18"/>
                <w:szCs w:val="18"/>
                <w:vertAlign w:val="superscript"/>
              </w:rPr>
              <w:t>6</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ind w:left="72"/>
              <w:rPr>
                <w:rFonts w:ascii="Arial" w:hAnsi="Arial" w:cs="Arial"/>
                <w:sz w:val="18"/>
                <w:szCs w:val="18"/>
              </w:rPr>
            </w:pPr>
            <w:r w:rsidRPr="0011597C">
              <w:rPr>
                <w:rFonts w:ascii="Arial" w:hAnsi="Arial" w:cs="Arial"/>
                <w:sz w:val="18"/>
                <w:szCs w:val="18"/>
              </w:rPr>
              <w:t xml:space="preserve">Pooled: issues detailed in rationale </w:t>
            </w:r>
          </w:p>
        </w:tc>
        <w:tc>
          <w:tcPr>
            <w:tcW w:w="7192" w:type="dxa"/>
          </w:tcPr>
          <w:p w:rsidR="00623B25" w:rsidRPr="0011597C" w:rsidRDefault="00623B25" w:rsidP="008534B0">
            <w:pPr>
              <w:ind w:left="46"/>
              <w:rPr>
                <w:rFonts w:ascii="Arial" w:hAnsi="Arial" w:cs="Arial"/>
                <w:sz w:val="18"/>
                <w:szCs w:val="18"/>
              </w:rPr>
            </w:pPr>
            <w:r w:rsidRPr="0011597C">
              <w:rPr>
                <w:rFonts w:ascii="Arial" w:hAnsi="Arial" w:cs="Arial"/>
                <w:sz w:val="18"/>
                <w:szCs w:val="18"/>
              </w:rPr>
              <w:t>Pooled:</w:t>
            </w:r>
            <w:r w:rsidRPr="0011597C">
              <w:rPr>
                <w:rFonts w:ascii="Arial" w:hAnsi="Arial" w:cs="Arial"/>
                <w:b/>
                <w:sz w:val="18"/>
                <w:szCs w:val="18"/>
              </w:rPr>
              <w:t xml:space="preserve"> </w:t>
            </w:r>
            <w:r w:rsidRPr="0011597C">
              <w:rPr>
                <w:rFonts w:ascii="Arial" w:hAnsi="Arial" w:cs="Arial"/>
                <w:sz w:val="18"/>
                <w:szCs w:val="18"/>
              </w:rPr>
              <w:t xml:space="preserve">No a priori hypothesis of direction of treatment effect in subgroups, study power not discussed, no adjustments for multiple comparisons and less stringent statistical criteria used to evaluate treatment-by-subgroup interactions, </w:t>
            </w:r>
            <w:r w:rsidRPr="0011597C">
              <w:rPr>
                <w:rFonts w:ascii="Arial" w:hAnsi="Arial" w:cs="Arial"/>
                <w:color w:val="000000"/>
                <w:sz w:val="18"/>
                <w:szCs w:val="18"/>
              </w:rPr>
              <w:t xml:space="preserve">attrition not discussed despite high attrition in input RCTs, some selective reporting in results presentation, different </w:t>
            </w:r>
            <w:proofErr w:type="spellStart"/>
            <w:r w:rsidRPr="0011597C">
              <w:rPr>
                <w:rFonts w:ascii="Arial" w:hAnsi="Arial" w:cs="Arial"/>
                <w:color w:val="000000"/>
                <w:sz w:val="18"/>
                <w:szCs w:val="18"/>
              </w:rPr>
              <w:t>duloxetine</w:t>
            </w:r>
            <w:proofErr w:type="spellEnd"/>
            <w:r w:rsidRPr="0011597C">
              <w:rPr>
                <w:rFonts w:ascii="Arial" w:hAnsi="Arial" w:cs="Arial"/>
                <w:color w:val="000000"/>
                <w:sz w:val="18"/>
                <w:szCs w:val="18"/>
              </w:rPr>
              <w:t xml:space="preserve"> doses combined analysis (with rationale)</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color w:val="000000"/>
                <w:sz w:val="18"/>
                <w:szCs w:val="18"/>
              </w:rPr>
              <w:t>Used optimal individual patient data (IPD) pooled analytic technique (Fischer et al. 2011)</w:t>
            </w:r>
            <w:r w:rsidRPr="0011597C">
              <w:rPr>
                <w:rFonts w:ascii="Arial" w:hAnsi="Arial" w:cs="Arial"/>
                <w:noProof/>
                <w:color w:val="000000"/>
                <w:sz w:val="18"/>
                <w:szCs w:val="18"/>
                <w:vertAlign w:val="superscript"/>
              </w:rPr>
              <w:t>44</w:t>
            </w:r>
            <w:r w:rsidRPr="0011597C">
              <w:rPr>
                <w:rFonts w:ascii="Arial" w:hAnsi="Arial" w:cs="Arial"/>
                <w:color w:val="000000"/>
                <w:sz w:val="18"/>
                <w:szCs w:val="18"/>
              </w:rPr>
              <w:t xml:space="preserve"> study blinding</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(all 4 studies)</w:t>
            </w:r>
          </w:p>
        </w:tc>
      </w:tr>
      <w:tr w:rsidR="00623B25" w:rsidRPr="0011597C" w:rsidTr="008534B0">
        <w:trPr>
          <w:cantSplit/>
        </w:trPr>
        <w:tc>
          <w:tcPr>
            <w:tcW w:w="1991" w:type="dxa"/>
            <w:shd w:val="clear" w:color="auto" w:fill="auto"/>
          </w:tcPr>
          <w:p w:rsidR="00623B25" w:rsidRPr="0011597C" w:rsidRDefault="00623B25" w:rsidP="008534B0">
            <w:pPr>
              <w:pageBreakBefore/>
              <w:ind w:left="0"/>
              <w:rPr>
                <w:rFonts w:ascii="Arial" w:hAnsi="Arial" w:cs="Arial"/>
                <w:sz w:val="18"/>
                <w:szCs w:val="18"/>
              </w:rPr>
            </w:pPr>
            <w:proofErr w:type="spellStart"/>
            <w:r w:rsidRPr="0011597C">
              <w:rPr>
                <w:rFonts w:ascii="Arial" w:hAnsi="Arial" w:cs="Arial"/>
                <w:b/>
                <w:i/>
                <w:sz w:val="18"/>
                <w:szCs w:val="18"/>
              </w:rPr>
              <w:lastRenderedPageBreak/>
              <w:t>Milnacipran</w:t>
            </w:r>
            <w:proofErr w:type="spellEnd"/>
          </w:p>
        </w:tc>
        <w:tc>
          <w:tcPr>
            <w:tcW w:w="1815" w:type="dxa"/>
          </w:tcPr>
          <w:p w:rsidR="00623B25" w:rsidRPr="0011597C" w:rsidRDefault="00623B25" w:rsidP="008534B0">
            <w:pPr>
              <w:ind w:left="72"/>
              <w:rPr>
                <w:rFonts w:ascii="Arial" w:hAnsi="Arial" w:cs="Arial"/>
                <w:sz w:val="18"/>
                <w:szCs w:val="18"/>
              </w:rPr>
            </w:pPr>
          </w:p>
        </w:tc>
        <w:tc>
          <w:tcPr>
            <w:tcW w:w="2178" w:type="dxa"/>
            <w:shd w:val="clear" w:color="auto" w:fill="auto"/>
          </w:tcPr>
          <w:p w:rsidR="00623B25" w:rsidRPr="0011597C" w:rsidRDefault="00623B25" w:rsidP="008534B0">
            <w:pPr>
              <w:ind w:left="72"/>
              <w:rPr>
                <w:rFonts w:ascii="Arial" w:hAnsi="Arial" w:cs="Arial"/>
                <w:sz w:val="18"/>
                <w:szCs w:val="18"/>
              </w:rPr>
            </w:pPr>
          </w:p>
        </w:tc>
        <w:tc>
          <w:tcPr>
            <w:tcW w:w="7192" w:type="dxa"/>
          </w:tcPr>
          <w:p w:rsidR="00623B25" w:rsidRPr="0011597C" w:rsidRDefault="00623B25" w:rsidP="008534B0">
            <w:pPr>
              <w:ind w:left="46"/>
              <w:rPr>
                <w:rFonts w:ascii="Arial" w:hAnsi="Arial" w:cs="Arial"/>
                <w:sz w:val="18"/>
                <w:szCs w:val="18"/>
              </w:rPr>
            </w:pP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r w:rsidRPr="0011597C">
              <w:rPr>
                <w:rFonts w:ascii="Arial" w:hAnsi="Arial" w:cs="Arial"/>
                <w:sz w:val="18"/>
                <w:szCs w:val="18"/>
              </w:rPr>
              <w:t>Arnold, 2012</w:t>
            </w:r>
            <w:r w:rsidRPr="0011597C">
              <w:rPr>
                <w:rFonts w:ascii="Arial" w:hAnsi="Arial" w:cs="Arial"/>
                <w:noProof/>
                <w:sz w:val="18"/>
                <w:szCs w:val="18"/>
                <w:vertAlign w:val="superscript"/>
              </w:rPr>
              <w:t>27</w:t>
            </w:r>
          </w:p>
        </w:tc>
        <w:tc>
          <w:tcPr>
            <w:tcW w:w="1815" w:type="dxa"/>
          </w:tcPr>
          <w:p w:rsidR="00623B25" w:rsidRPr="0011597C" w:rsidRDefault="00623B25" w:rsidP="008534B0">
            <w:pPr>
              <w:ind w:left="72"/>
              <w:rPr>
                <w:rFonts w:ascii="Arial" w:hAnsi="Arial" w:cs="Arial"/>
                <w:sz w:val="18"/>
                <w:szCs w:val="18"/>
              </w:rPr>
            </w:pPr>
            <w:r w:rsidRPr="0011597C">
              <w:rPr>
                <w:rFonts w:ascii="Arial" w:hAnsi="Arial" w:cs="Arial"/>
                <w:sz w:val="18"/>
                <w:szCs w:val="18"/>
              </w:rPr>
              <w:t>Subgroup analysis:</w:t>
            </w:r>
          </w:p>
          <w:p w:rsidR="00623B25" w:rsidRPr="0011597C" w:rsidRDefault="00623B25" w:rsidP="008534B0">
            <w:pPr>
              <w:ind w:left="72"/>
              <w:rPr>
                <w:rFonts w:ascii="Arial" w:hAnsi="Arial" w:cs="Arial"/>
                <w:sz w:val="18"/>
                <w:szCs w:val="18"/>
              </w:rPr>
            </w:pPr>
            <w:r w:rsidRPr="0011597C">
              <w:rPr>
                <w:rFonts w:ascii="Arial" w:hAnsi="Arial" w:cs="Arial"/>
                <w:sz w:val="18"/>
                <w:szCs w:val="18"/>
              </w:rPr>
              <w:t>Arnold, 2010</w:t>
            </w:r>
            <w:r w:rsidRPr="0011597C">
              <w:rPr>
                <w:rFonts w:ascii="Arial" w:hAnsi="Arial" w:cs="Arial"/>
                <w:noProof/>
                <w:sz w:val="18"/>
                <w:szCs w:val="18"/>
                <w:vertAlign w:val="superscript"/>
              </w:rPr>
              <w:t>28</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Mease</w:t>
            </w:r>
            <w:proofErr w:type="spellEnd"/>
            <w:r w:rsidRPr="0011597C">
              <w:rPr>
                <w:rFonts w:ascii="Arial" w:hAnsi="Arial" w:cs="Arial"/>
                <w:sz w:val="18"/>
                <w:szCs w:val="18"/>
              </w:rPr>
              <w:t>, 2009</w:t>
            </w:r>
            <w:r w:rsidRPr="0011597C">
              <w:rPr>
                <w:rFonts w:ascii="Arial" w:hAnsi="Arial" w:cs="Arial"/>
                <w:noProof/>
                <w:sz w:val="18"/>
                <w:szCs w:val="18"/>
                <w:vertAlign w:val="superscript"/>
              </w:rPr>
              <w:t>29</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Clauw</w:t>
            </w:r>
            <w:proofErr w:type="spellEnd"/>
            <w:r w:rsidRPr="0011597C">
              <w:rPr>
                <w:rFonts w:ascii="Arial" w:hAnsi="Arial" w:cs="Arial"/>
                <w:sz w:val="18"/>
                <w:szCs w:val="18"/>
              </w:rPr>
              <w:t>, 2008</w:t>
            </w:r>
            <w:r w:rsidRPr="0011597C">
              <w:rPr>
                <w:rFonts w:ascii="Arial" w:hAnsi="Arial" w:cs="Arial"/>
                <w:noProof/>
                <w:sz w:val="18"/>
                <w:szCs w:val="18"/>
                <w:vertAlign w:val="superscript"/>
              </w:rPr>
              <w:t>30</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ind w:left="72"/>
              <w:rPr>
                <w:rFonts w:ascii="Arial" w:hAnsi="Arial" w:cs="Arial"/>
                <w:sz w:val="18"/>
                <w:szCs w:val="18"/>
              </w:rPr>
            </w:pPr>
            <w:r w:rsidRPr="0011597C">
              <w:rPr>
                <w:rFonts w:ascii="Arial" w:hAnsi="Arial" w:cs="Arial"/>
                <w:sz w:val="18"/>
                <w:szCs w:val="18"/>
              </w:rPr>
              <w:t xml:space="preserve">Pooled: issues detailed in rationale </w:t>
            </w:r>
          </w:p>
        </w:tc>
        <w:tc>
          <w:tcPr>
            <w:tcW w:w="7192" w:type="dxa"/>
          </w:tcPr>
          <w:p w:rsidR="00623B25" w:rsidRPr="0011597C" w:rsidRDefault="00623B25" w:rsidP="008534B0">
            <w:pPr>
              <w:ind w:left="46"/>
              <w:rPr>
                <w:rFonts w:ascii="Arial" w:hAnsi="Arial" w:cs="Arial"/>
                <w:b/>
                <w:color w:val="000000"/>
                <w:sz w:val="18"/>
                <w:szCs w:val="18"/>
              </w:rPr>
            </w:pPr>
            <w:r w:rsidRPr="0011597C">
              <w:rPr>
                <w:rFonts w:ascii="Arial" w:hAnsi="Arial" w:cs="Arial"/>
                <w:sz w:val="18"/>
                <w:szCs w:val="18"/>
              </w:rPr>
              <w:t>Pooled:</w:t>
            </w:r>
            <w:r w:rsidRPr="0011597C">
              <w:rPr>
                <w:rFonts w:ascii="Arial" w:hAnsi="Arial" w:cs="Arial"/>
                <w:b/>
                <w:sz w:val="18"/>
                <w:szCs w:val="18"/>
              </w:rPr>
              <w:t xml:space="preserve"> </w:t>
            </w:r>
            <w:r w:rsidRPr="0011597C">
              <w:rPr>
                <w:rFonts w:ascii="Arial" w:hAnsi="Arial" w:cs="Arial"/>
                <w:sz w:val="18"/>
                <w:szCs w:val="18"/>
              </w:rPr>
              <w:t xml:space="preserve">No a priori hypothesis of direction of treatment effect in subgroups, study power not discussed, no adjustments for multiple comparisons, </w:t>
            </w:r>
            <w:r w:rsidRPr="0011597C">
              <w:rPr>
                <w:rFonts w:ascii="Arial" w:hAnsi="Arial" w:cs="Arial"/>
                <w:color w:val="000000"/>
                <w:sz w:val="18"/>
                <w:szCs w:val="18"/>
              </w:rPr>
              <w:t>attrition not discussed despite high attrition in input RCTs, unable to determine subgroup sample size within each treatment group</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color w:val="000000"/>
                <w:sz w:val="18"/>
                <w:szCs w:val="18"/>
              </w:rPr>
              <w:t>Used optimal individual patient data (IPD) pooled analytic technique (Fischer et al. 2011)</w:t>
            </w:r>
            <w:r w:rsidRPr="0011597C">
              <w:rPr>
                <w:rFonts w:ascii="Arial" w:hAnsi="Arial" w:cs="Arial"/>
                <w:noProof/>
                <w:color w:val="000000"/>
                <w:sz w:val="18"/>
                <w:szCs w:val="18"/>
                <w:vertAlign w:val="superscript"/>
              </w:rPr>
              <w:t>44</w:t>
            </w:r>
            <w:r w:rsidRPr="0011597C">
              <w:rPr>
                <w:rFonts w:ascii="Arial" w:hAnsi="Arial" w:cs="Arial"/>
                <w:color w:val="000000"/>
                <w:sz w:val="18"/>
                <w:szCs w:val="18"/>
              </w:rPr>
              <w:t xml:space="preserve"> study blinding</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(all 3 input studies)</w:t>
            </w: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proofErr w:type="spellStart"/>
            <w:r w:rsidRPr="0011597C">
              <w:rPr>
                <w:rFonts w:ascii="Arial" w:hAnsi="Arial" w:cs="Arial"/>
                <w:sz w:val="18"/>
                <w:szCs w:val="18"/>
              </w:rPr>
              <w:t>Geisser</w:t>
            </w:r>
            <w:proofErr w:type="spellEnd"/>
            <w:r w:rsidRPr="0011597C">
              <w:rPr>
                <w:rFonts w:ascii="Arial" w:hAnsi="Arial" w:cs="Arial"/>
                <w:sz w:val="18"/>
                <w:szCs w:val="18"/>
              </w:rPr>
              <w:t>, 2011</w:t>
            </w:r>
            <w:r w:rsidRPr="0011597C">
              <w:rPr>
                <w:rFonts w:ascii="Arial" w:hAnsi="Arial" w:cs="Arial"/>
                <w:noProof/>
                <w:sz w:val="18"/>
                <w:szCs w:val="18"/>
                <w:vertAlign w:val="superscript"/>
              </w:rPr>
              <w:t>31</w:t>
            </w:r>
          </w:p>
        </w:tc>
        <w:tc>
          <w:tcPr>
            <w:tcW w:w="1815" w:type="dxa"/>
          </w:tcPr>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Mease</w:t>
            </w:r>
            <w:proofErr w:type="spellEnd"/>
            <w:r w:rsidRPr="0011597C">
              <w:rPr>
                <w:rFonts w:ascii="Arial" w:hAnsi="Arial" w:cs="Arial"/>
                <w:sz w:val="18"/>
                <w:szCs w:val="18"/>
              </w:rPr>
              <w:t>, 2009</w:t>
            </w:r>
            <w:r w:rsidRPr="0011597C">
              <w:rPr>
                <w:rFonts w:ascii="Arial" w:hAnsi="Arial" w:cs="Arial"/>
                <w:noProof/>
                <w:sz w:val="18"/>
                <w:szCs w:val="18"/>
                <w:vertAlign w:val="superscript"/>
              </w:rPr>
              <w:t>29</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Clauw</w:t>
            </w:r>
            <w:proofErr w:type="spellEnd"/>
            <w:r w:rsidRPr="0011597C">
              <w:rPr>
                <w:rFonts w:ascii="Arial" w:hAnsi="Arial" w:cs="Arial"/>
                <w:sz w:val="18"/>
                <w:szCs w:val="18"/>
              </w:rPr>
              <w:t>, 2008</w:t>
            </w:r>
            <w:r w:rsidRPr="0011597C">
              <w:rPr>
                <w:rFonts w:ascii="Arial" w:hAnsi="Arial" w:cs="Arial"/>
                <w:noProof/>
                <w:sz w:val="18"/>
                <w:szCs w:val="18"/>
                <w:vertAlign w:val="superscript"/>
              </w:rPr>
              <w:t>30</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ind w:left="72"/>
              <w:rPr>
                <w:rFonts w:ascii="Arial" w:hAnsi="Arial" w:cs="Arial"/>
                <w:sz w:val="18"/>
                <w:szCs w:val="18"/>
              </w:rPr>
            </w:pPr>
            <w:r w:rsidRPr="0011597C">
              <w:rPr>
                <w:rFonts w:ascii="Arial" w:hAnsi="Arial" w:cs="Arial"/>
                <w:sz w:val="18"/>
                <w:szCs w:val="18"/>
              </w:rPr>
              <w:t>Pooled: issues detailed in rationale</w:t>
            </w:r>
          </w:p>
        </w:tc>
        <w:tc>
          <w:tcPr>
            <w:tcW w:w="7192" w:type="dxa"/>
          </w:tcPr>
          <w:p w:rsidR="00623B25" w:rsidRPr="0011597C" w:rsidRDefault="00623B25" w:rsidP="008534B0">
            <w:pPr>
              <w:ind w:left="46"/>
              <w:rPr>
                <w:rFonts w:ascii="Arial" w:hAnsi="Arial" w:cs="Arial"/>
                <w:b/>
                <w:color w:val="000000"/>
                <w:sz w:val="18"/>
                <w:szCs w:val="18"/>
              </w:rPr>
            </w:pPr>
            <w:r w:rsidRPr="0011597C">
              <w:rPr>
                <w:rFonts w:ascii="Arial" w:hAnsi="Arial" w:cs="Arial"/>
                <w:sz w:val="18"/>
                <w:szCs w:val="18"/>
              </w:rPr>
              <w:t>Pooled:</w:t>
            </w:r>
            <w:r w:rsidRPr="0011597C">
              <w:rPr>
                <w:rFonts w:ascii="Arial" w:hAnsi="Arial" w:cs="Arial"/>
                <w:b/>
                <w:sz w:val="18"/>
                <w:szCs w:val="18"/>
              </w:rPr>
              <w:t xml:space="preserve"> </w:t>
            </w:r>
            <w:r w:rsidRPr="0011597C">
              <w:rPr>
                <w:rFonts w:ascii="Arial" w:hAnsi="Arial" w:cs="Arial"/>
                <w:sz w:val="18"/>
                <w:szCs w:val="18"/>
              </w:rPr>
              <w:t xml:space="preserve">No a priori hypothesis of direction of treatment effect in subgroups, study power not discussed, no adjustments for multiple comparisons, </w:t>
            </w:r>
            <w:r w:rsidRPr="0011597C">
              <w:rPr>
                <w:rFonts w:ascii="Arial" w:hAnsi="Arial" w:cs="Arial"/>
                <w:color w:val="000000"/>
                <w:sz w:val="18"/>
                <w:szCs w:val="18"/>
              </w:rPr>
              <w:t>attrition not discussed despite high attrition in input RCTs, unable to determine subgroup sample size, only patients classified as responders included in subgroup analyses</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color w:val="000000"/>
                <w:sz w:val="18"/>
                <w:szCs w:val="18"/>
              </w:rPr>
              <w:t>Used optimal individual patient data (IPD) pooled analytic technique (Fischer et al. 2011)</w:t>
            </w:r>
            <w:r w:rsidRPr="0011597C">
              <w:rPr>
                <w:rFonts w:ascii="Arial" w:hAnsi="Arial" w:cs="Arial"/>
                <w:noProof/>
                <w:color w:val="000000"/>
                <w:sz w:val="18"/>
                <w:szCs w:val="18"/>
                <w:vertAlign w:val="superscript"/>
              </w:rPr>
              <w:t>44</w:t>
            </w:r>
            <w:r w:rsidRPr="0011597C">
              <w:rPr>
                <w:rFonts w:ascii="Arial" w:hAnsi="Arial" w:cs="Arial"/>
                <w:color w:val="000000"/>
                <w:sz w:val="18"/>
                <w:szCs w:val="18"/>
              </w:rPr>
              <w:t xml:space="preserve"> study blinding</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(both input studies)</w:t>
            </w: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proofErr w:type="spellStart"/>
            <w:r w:rsidRPr="0011597C">
              <w:rPr>
                <w:rFonts w:ascii="Arial" w:hAnsi="Arial" w:cs="Arial"/>
                <w:b/>
                <w:i/>
                <w:sz w:val="18"/>
                <w:szCs w:val="18"/>
              </w:rPr>
              <w:t>Pregabalin</w:t>
            </w:r>
            <w:proofErr w:type="spellEnd"/>
          </w:p>
        </w:tc>
        <w:tc>
          <w:tcPr>
            <w:tcW w:w="1815" w:type="dxa"/>
          </w:tcPr>
          <w:p w:rsidR="00623B25" w:rsidRPr="0011597C" w:rsidRDefault="00623B25" w:rsidP="008534B0">
            <w:pPr>
              <w:ind w:left="72"/>
              <w:rPr>
                <w:rFonts w:ascii="Arial" w:hAnsi="Arial" w:cs="Arial"/>
                <w:sz w:val="18"/>
                <w:szCs w:val="18"/>
              </w:rPr>
            </w:pPr>
          </w:p>
        </w:tc>
        <w:tc>
          <w:tcPr>
            <w:tcW w:w="2178" w:type="dxa"/>
            <w:shd w:val="clear" w:color="auto" w:fill="auto"/>
          </w:tcPr>
          <w:p w:rsidR="00623B25" w:rsidRPr="0011597C" w:rsidRDefault="00623B25" w:rsidP="008534B0">
            <w:pPr>
              <w:ind w:left="72"/>
              <w:rPr>
                <w:rFonts w:ascii="Arial" w:hAnsi="Arial" w:cs="Arial"/>
                <w:sz w:val="18"/>
                <w:szCs w:val="18"/>
              </w:rPr>
            </w:pPr>
          </w:p>
        </w:tc>
        <w:tc>
          <w:tcPr>
            <w:tcW w:w="7192" w:type="dxa"/>
          </w:tcPr>
          <w:p w:rsidR="00623B25" w:rsidRPr="0011597C" w:rsidRDefault="00623B25" w:rsidP="008534B0">
            <w:pPr>
              <w:ind w:left="46"/>
              <w:rPr>
                <w:rFonts w:ascii="Arial" w:hAnsi="Arial" w:cs="Arial"/>
                <w:sz w:val="18"/>
                <w:szCs w:val="18"/>
              </w:rPr>
            </w:pP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r w:rsidRPr="0011597C">
              <w:rPr>
                <w:rFonts w:ascii="Arial" w:hAnsi="Arial" w:cs="Arial"/>
                <w:sz w:val="18"/>
                <w:szCs w:val="18"/>
              </w:rPr>
              <w:t>Arnold, 2010</w:t>
            </w:r>
            <w:r w:rsidRPr="0011597C">
              <w:rPr>
                <w:rFonts w:ascii="Arial" w:hAnsi="Arial" w:cs="Arial"/>
                <w:noProof/>
                <w:sz w:val="18"/>
                <w:szCs w:val="18"/>
                <w:vertAlign w:val="superscript"/>
              </w:rPr>
              <w:t>32</w:t>
            </w:r>
          </w:p>
        </w:tc>
        <w:tc>
          <w:tcPr>
            <w:tcW w:w="1815" w:type="dxa"/>
          </w:tcPr>
          <w:p w:rsidR="00623B25" w:rsidRPr="0011597C" w:rsidRDefault="00623B25" w:rsidP="008534B0">
            <w:pPr>
              <w:ind w:left="72"/>
              <w:rPr>
                <w:rFonts w:ascii="Arial" w:hAnsi="Arial" w:cs="Arial"/>
                <w:sz w:val="18"/>
                <w:szCs w:val="18"/>
              </w:rPr>
            </w:pPr>
            <w:r w:rsidRPr="0011597C">
              <w:rPr>
                <w:rFonts w:ascii="Arial" w:hAnsi="Arial" w:cs="Arial"/>
                <w:sz w:val="18"/>
                <w:szCs w:val="18"/>
              </w:rPr>
              <w:t>Arnold, 2008</w:t>
            </w:r>
            <w:r w:rsidRPr="0011597C">
              <w:rPr>
                <w:rFonts w:ascii="Arial" w:hAnsi="Arial" w:cs="Arial"/>
                <w:noProof/>
                <w:sz w:val="18"/>
                <w:szCs w:val="18"/>
                <w:vertAlign w:val="superscript"/>
              </w:rPr>
              <w:t>33</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Mease</w:t>
            </w:r>
            <w:proofErr w:type="spellEnd"/>
            <w:r w:rsidRPr="0011597C">
              <w:rPr>
                <w:rFonts w:ascii="Arial" w:hAnsi="Arial" w:cs="Arial"/>
                <w:sz w:val="18"/>
                <w:szCs w:val="18"/>
              </w:rPr>
              <w:t>, 2008</w:t>
            </w:r>
            <w:r w:rsidRPr="0011597C">
              <w:rPr>
                <w:rFonts w:ascii="Arial" w:hAnsi="Arial" w:cs="Arial"/>
                <w:noProof/>
                <w:sz w:val="18"/>
                <w:szCs w:val="18"/>
                <w:vertAlign w:val="superscript"/>
              </w:rPr>
              <w:t>34</w:t>
            </w:r>
          </w:p>
          <w:p w:rsidR="00623B25" w:rsidRPr="0011597C" w:rsidRDefault="00623B25" w:rsidP="008534B0">
            <w:pPr>
              <w:ind w:left="72"/>
              <w:rPr>
                <w:rFonts w:ascii="Arial" w:hAnsi="Arial" w:cs="Arial"/>
                <w:iCs/>
                <w:sz w:val="18"/>
                <w:szCs w:val="18"/>
              </w:rPr>
            </w:pPr>
            <w:proofErr w:type="spellStart"/>
            <w:r w:rsidRPr="0011597C">
              <w:rPr>
                <w:rFonts w:ascii="Arial" w:hAnsi="Arial" w:cs="Arial"/>
                <w:sz w:val="18"/>
                <w:szCs w:val="18"/>
              </w:rPr>
              <w:t>Crofford</w:t>
            </w:r>
            <w:proofErr w:type="spellEnd"/>
            <w:r w:rsidRPr="0011597C">
              <w:rPr>
                <w:rFonts w:ascii="Arial" w:hAnsi="Arial" w:cs="Arial"/>
                <w:sz w:val="18"/>
                <w:szCs w:val="18"/>
              </w:rPr>
              <w:t>, 2005</w:t>
            </w:r>
            <w:r w:rsidRPr="0011597C">
              <w:rPr>
                <w:rFonts w:ascii="Arial" w:hAnsi="Arial" w:cs="Arial"/>
                <w:noProof/>
                <w:sz w:val="18"/>
                <w:szCs w:val="18"/>
                <w:vertAlign w:val="superscript"/>
              </w:rPr>
              <w:t>35</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ind w:left="72"/>
              <w:rPr>
                <w:rFonts w:ascii="Arial" w:hAnsi="Arial" w:cs="Arial"/>
                <w:iCs/>
                <w:sz w:val="18"/>
                <w:szCs w:val="18"/>
              </w:rPr>
            </w:pPr>
            <w:r w:rsidRPr="0011597C">
              <w:rPr>
                <w:rFonts w:ascii="Arial" w:hAnsi="Arial" w:cs="Arial"/>
                <w:sz w:val="18"/>
                <w:szCs w:val="18"/>
              </w:rPr>
              <w:t>Pooled: issues detailed in rationale</w:t>
            </w:r>
          </w:p>
        </w:tc>
        <w:tc>
          <w:tcPr>
            <w:tcW w:w="7192" w:type="dxa"/>
          </w:tcPr>
          <w:p w:rsidR="00623B25" w:rsidRPr="0011597C" w:rsidRDefault="00623B25" w:rsidP="008534B0">
            <w:pPr>
              <w:ind w:left="46"/>
              <w:rPr>
                <w:rFonts w:ascii="Arial" w:hAnsi="Arial" w:cs="Arial"/>
                <w:sz w:val="18"/>
                <w:szCs w:val="18"/>
              </w:rPr>
            </w:pPr>
            <w:r w:rsidRPr="0011597C">
              <w:rPr>
                <w:rFonts w:ascii="Arial" w:hAnsi="Arial" w:cs="Arial"/>
                <w:sz w:val="18"/>
                <w:szCs w:val="18"/>
              </w:rPr>
              <w:t>Pooled: No a priori hypothesis of direction of treatment effect in subgroups, study power not discussed, no adjustments made for multiple comparisons, outcome assessment timing varies by study, attrition not discussed despite high attrition in input RCTs, unable to determine effect of treatment in subgroups as reported</w:t>
            </w:r>
          </w:p>
          <w:p w:rsidR="00623B25" w:rsidRPr="0011597C" w:rsidRDefault="00623B25" w:rsidP="008534B0">
            <w:pPr>
              <w:ind w:left="46"/>
              <w:rPr>
                <w:rFonts w:ascii="Arial" w:hAnsi="Arial" w:cs="Arial"/>
                <w:b/>
                <w:color w:val="000000"/>
                <w:sz w:val="18"/>
                <w:szCs w:val="18"/>
              </w:rPr>
            </w:pPr>
          </w:p>
          <w:p w:rsidR="00623B25" w:rsidRPr="0011597C" w:rsidRDefault="00623B25" w:rsidP="008534B0">
            <w:pPr>
              <w:ind w:left="46"/>
              <w:rPr>
                <w:rFonts w:ascii="Arial" w:hAnsi="Arial" w:cs="Arial"/>
                <w:sz w:val="18"/>
                <w:szCs w:val="18"/>
              </w:rPr>
            </w:pPr>
            <w:r w:rsidRPr="0011597C">
              <w:rPr>
                <w:rFonts w:ascii="Arial" w:hAnsi="Arial" w:cs="Arial"/>
                <w:color w:val="000000"/>
                <w:sz w:val="18"/>
                <w:szCs w:val="18"/>
              </w:rPr>
              <w:t>Used optimal individual patient data (IPD) pooled analytic technique (Fischer et al. 2011)</w:t>
            </w:r>
            <w:r w:rsidRPr="0011597C">
              <w:rPr>
                <w:rFonts w:ascii="Arial" w:hAnsi="Arial" w:cs="Arial"/>
                <w:noProof/>
                <w:color w:val="000000"/>
                <w:sz w:val="18"/>
                <w:szCs w:val="18"/>
                <w:vertAlign w:val="superscript"/>
              </w:rPr>
              <w:t>44</w:t>
            </w:r>
            <w:r w:rsidRPr="0011597C">
              <w:rPr>
                <w:rFonts w:ascii="Arial" w:hAnsi="Arial" w:cs="Arial"/>
                <w:color w:val="000000"/>
                <w:sz w:val="18"/>
                <w:szCs w:val="18"/>
              </w:rPr>
              <w:t xml:space="preserve"> study blinding</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(all)</w:t>
            </w: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proofErr w:type="spellStart"/>
            <w:r w:rsidRPr="0011597C">
              <w:rPr>
                <w:rFonts w:ascii="Arial" w:hAnsi="Arial" w:cs="Arial"/>
                <w:sz w:val="18"/>
                <w:szCs w:val="18"/>
              </w:rPr>
              <w:t>Bhadra</w:t>
            </w:r>
            <w:proofErr w:type="spellEnd"/>
            <w:r w:rsidRPr="0011597C">
              <w:rPr>
                <w:rFonts w:ascii="Arial" w:hAnsi="Arial" w:cs="Arial"/>
                <w:sz w:val="18"/>
                <w:szCs w:val="18"/>
              </w:rPr>
              <w:t>, 2010</w:t>
            </w:r>
            <w:r w:rsidRPr="0011597C">
              <w:rPr>
                <w:rFonts w:ascii="Arial" w:hAnsi="Arial" w:cs="Arial"/>
                <w:noProof/>
                <w:sz w:val="18"/>
                <w:szCs w:val="18"/>
                <w:vertAlign w:val="superscript"/>
              </w:rPr>
              <w:t>36</w:t>
            </w:r>
          </w:p>
        </w:tc>
        <w:tc>
          <w:tcPr>
            <w:tcW w:w="1815" w:type="dxa"/>
          </w:tcPr>
          <w:p w:rsidR="00623B25" w:rsidRPr="0011597C" w:rsidRDefault="00623B25" w:rsidP="008534B0">
            <w:pPr>
              <w:ind w:left="72"/>
              <w:rPr>
                <w:rFonts w:ascii="Arial" w:hAnsi="Arial" w:cs="Arial"/>
                <w:sz w:val="18"/>
                <w:szCs w:val="18"/>
              </w:rPr>
            </w:pPr>
            <w:r w:rsidRPr="0011597C">
              <w:rPr>
                <w:rFonts w:ascii="Arial" w:hAnsi="Arial" w:cs="Arial"/>
                <w:sz w:val="18"/>
                <w:szCs w:val="18"/>
              </w:rPr>
              <w:t>Arnold, 2008</w:t>
            </w:r>
            <w:r w:rsidRPr="0011597C">
              <w:rPr>
                <w:rFonts w:ascii="Arial" w:hAnsi="Arial" w:cs="Arial"/>
                <w:noProof/>
                <w:sz w:val="18"/>
                <w:szCs w:val="18"/>
                <w:vertAlign w:val="superscript"/>
              </w:rPr>
              <w:t>33</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Mease</w:t>
            </w:r>
            <w:proofErr w:type="spellEnd"/>
            <w:r w:rsidRPr="0011597C">
              <w:rPr>
                <w:rFonts w:ascii="Arial" w:hAnsi="Arial" w:cs="Arial"/>
                <w:sz w:val="18"/>
                <w:szCs w:val="18"/>
              </w:rPr>
              <w:t>, 2008</w:t>
            </w:r>
            <w:r w:rsidRPr="0011597C">
              <w:rPr>
                <w:rFonts w:ascii="Arial" w:hAnsi="Arial" w:cs="Arial"/>
                <w:noProof/>
                <w:sz w:val="18"/>
                <w:szCs w:val="18"/>
                <w:vertAlign w:val="superscript"/>
              </w:rPr>
              <w:t>34</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Crofford</w:t>
            </w:r>
            <w:proofErr w:type="spellEnd"/>
            <w:r w:rsidRPr="0011597C">
              <w:rPr>
                <w:rFonts w:ascii="Arial" w:hAnsi="Arial" w:cs="Arial"/>
                <w:sz w:val="18"/>
                <w:szCs w:val="18"/>
              </w:rPr>
              <w:t>, 2005</w:t>
            </w:r>
            <w:r w:rsidRPr="0011597C">
              <w:rPr>
                <w:rFonts w:ascii="Arial" w:hAnsi="Arial" w:cs="Arial"/>
                <w:noProof/>
                <w:sz w:val="18"/>
                <w:szCs w:val="18"/>
                <w:vertAlign w:val="superscript"/>
              </w:rPr>
              <w:t>35</w:t>
            </w:r>
          </w:p>
          <w:p w:rsidR="00623B25" w:rsidRPr="0011597C" w:rsidRDefault="00623B25" w:rsidP="008534B0">
            <w:pPr>
              <w:ind w:left="72"/>
              <w:rPr>
                <w:rFonts w:ascii="Arial" w:hAnsi="Arial" w:cs="Arial"/>
                <w:iCs/>
                <w:sz w:val="18"/>
                <w:szCs w:val="18"/>
              </w:rPr>
            </w:pPr>
            <w:proofErr w:type="spellStart"/>
            <w:r w:rsidRPr="0011597C">
              <w:rPr>
                <w:rFonts w:ascii="Arial" w:hAnsi="Arial" w:cs="Arial"/>
                <w:sz w:val="18"/>
                <w:szCs w:val="18"/>
              </w:rPr>
              <w:t>Pauer</w:t>
            </w:r>
            <w:proofErr w:type="spellEnd"/>
            <w:r w:rsidRPr="0011597C">
              <w:rPr>
                <w:rFonts w:ascii="Arial" w:hAnsi="Arial" w:cs="Arial"/>
                <w:sz w:val="18"/>
                <w:szCs w:val="18"/>
              </w:rPr>
              <w:t>, 2008</w:t>
            </w:r>
            <w:r w:rsidRPr="0011597C">
              <w:rPr>
                <w:rFonts w:ascii="Arial" w:hAnsi="Arial" w:cs="Arial"/>
                <w:noProof/>
                <w:sz w:val="18"/>
                <w:szCs w:val="18"/>
                <w:vertAlign w:val="superscript"/>
              </w:rPr>
              <w:t>37</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ind w:left="72"/>
              <w:rPr>
                <w:rFonts w:ascii="Arial" w:hAnsi="Arial" w:cs="Arial"/>
                <w:iCs/>
                <w:sz w:val="18"/>
                <w:szCs w:val="18"/>
              </w:rPr>
            </w:pPr>
            <w:r w:rsidRPr="0011597C">
              <w:rPr>
                <w:rFonts w:ascii="Arial" w:hAnsi="Arial" w:cs="Arial"/>
                <w:sz w:val="18"/>
                <w:szCs w:val="18"/>
              </w:rPr>
              <w:t>Pooled: issues detailed in rationale</w:t>
            </w:r>
          </w:p>
        </w:tc>
        <w:tc>
          <w:tcPr>
            <w:tcW w:w="7192" w:type="dxa"/>
          </w:tcPr>
          <w:p w:rsidR="00623B25" w:rsidRPr="0011597C" w:rsidRDefault="00623B25" w:rsidP="008534B0">
            <w:pPr>
              <w:ind w:left="46"/>
              <w:rPr>
                <w:rFonts w:ascii="Arial" w:hAnsi="Arial" w:cs="Arial"/>
                <w:sz w:val="18"/>
                <w:szCs w:val="18"/>
              </w:rPr>
            </w:pPr>
            <w:r w:rsidRPr="0011597C">
              <w:rPr>
                <w:rFonts w:ascii="Arial" w:hAnsi="Arial" w:cs="Arial"/>
                <w:sz w:val="18"/>
                <w:szCs w:val="18"/>
              </w:rPr>
              <w:t>Pooled: No a priori hypothesis of direction of treatment effect in subgroups, study power not discussed, no adjustments made for multiple comparisons, outcome assessment timing varies by study, attrition not discussed despite high attrition in input RCTs, only those with given co-morbid medical condition are shown in results and not those without</w:t>
            </w:r>
          </w:p>
          <w:p w:rsidR="00623B25" w:rsidRPr="0011597C" w:rsidRDefault="00623B25" w:rsidP="008534B0">
            <w:pPr>
              <w:ind w:left="46"/>
              <w:rPr>
                <w:rFonts w:ascii="Arial" w:hAnsi="Arial" w:cs="Arial"/>
                <w:b/>
                <w:color w:val="000000"/>
                <w:sz w:val="18"/>
                <w:szCs w:val="18"/>
              </w:rPr>
            </w:pPr>
          </w:p>
          <w:p w:rsidR="00623B25" w:rsidRPr="0011597C" w:rsidRDefault="00623B25" w:rsidP="008534B0">
            <w:pPr>
              <w:ind w:left="46"/>
              <w:rPr>
                <w:rFonts w:ascii="Arial" w:hAnsi="Arial" w:cs="Arial"/>
                <w:sz w:val="18"/>
                <w:szCs w:val="18"/>
              </w:rPr>
            </w:pPr>
            <w:r w:rsidRPr="0011597C">
              <w:rPr>
                <w:rFonts w:ascii="Arial" w:hAnsi="Arial" w:cs="Arial"/>
                <w:color w:val="000000"/>
                <w:sz w:val="18"/>
                <w:szCs w:val="18"/>
              </w:rPr>
              <w:t>Used optimal individual patient data (IPD) pooled analytic technique (Fischer et al. 2011)</w:t>
            </w:r>
            <w:r w:rsidRPr="0011597C">
              <w:rPr>
                <w:rFonts w:ascii="Arial" w:hAnsi="Arial" w:cs="Arial"/>
                <w:noProof/>
                <w:color w:val="000000"/>
                <w:sz w:val="18"/>
                <w:szCs w:val="18"/>
                <w:vertAlign w:val="superscript"/>
              </w:rPr>
              <w:t>44</w:t>
            </w:r>
            <w:r w:rsidRPr="0011597C">
              <w:rPr>
                <w:rFonts w:ascii="Arial" w:hAnsi="Arial" w:cs="Arial"/>
                <w:color w:val="000000"/>
                <w:sz w:val="18"/>
                <w:szCs w:val="18"/>
              </w:rPr>
              <w:t>, study blinding</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(3 of 4 studies, 4</w:t>
            </w:r>
            <w:r w:rsidRPr="0011597C">
              <w:rPr>
                <w:rFonts w:ascii="Arial" w:hAnsi="Arial" w:cs="Arial"/>
                <w:sz w:val="18"/>
                <w:szCs w:val="18"/>
                <w:vertAlign w:val="superscript"/>
              </w:rPr>
              <w:t>th</w:t>
            </w:r>
            <w:r w:rsidRPr="0011597C">
              <w:rPr>
                <w:rFonts w:ascii="Arial" w:hAnsi="Arial" w:cs="Arial"/>
                <w:sz w:val="18"/>
                <w:szCs w:val="18"/>
              </w:rPr>
              <w:t xml:space="preserve"> study unable to determine; </w:t>
            </w:r>
            <w:proofErr w:type="spellStart"/>
            <w:r w:rsidRPr="0011597C">
              <w:rPr>
                <w:rFonts w:ascii="Arial" w:hAnsi="Arial" w:cs="Arial"/>
                <w:sz w:val="18"/>
                <w:szCs w:val="18"/>
              </w:rPr>
              <w:t>Pauer</w:t>
            </w:r>
            <w:proofErr w:type="spellEnd"/>
            <w:r w:rsidRPr="0011597C">
              <w:rPr>
                <w:rFonts w:ascii="Arial" w:hAnsi="Arial" w:cs="Arial"/>
                <w:sz w:val="18"/>
                <w:szCs w:val="18"/>
              </w:rPr>
              <w:t xml:space="preserve"> et al. is an abstract only)</w:t>
            </w:r>
          </w:p>
        </w:tc>
      </w:tr>
      <w:tr w:rsidR="00623B25" w:rsidRPr="0011597C" w:rsidTr="008534B0">
        <w:trPr>
          <w:cantSplit/>
        </w:trPr>
        <w:tc>
          <w:tcPr>
            <w:tcW w:w="1991" w:type="dxa"/>
            <w:shd w:val="clear" w:color="auto" w:fill="auto"/>
          </w:tcPr>
          <w:p w:rsidR="00623B25" w:rsidRPr="0011597C" w:rsidRDefault="00623B25" w:rsidP="008534B0">
            <w:pPr>
              <w:ind w:left="0"/>
              <w:rPr>
                <w:rFonts w:ascii="Arial" w:hAnsi="Arial" w:cs="Arial"/>
                <w:sz w:val="18"/>
                <w:szCs w:val="18"/>
              </w:rPr>
            </w:pPr>
            <w:proofErr w:type="spellStart"/>
            <w:r w:rsidRPr="0011597C">
              <w:rPr>
                <w:rFonts w:ascii="Arial" w:hAnsi="Arial" w:cs="Arial"/>
                <w:sz w:val="18"/>
                <w:szCs w:val="18"/>
              </w:rPr>
              <w:lastRenderedPageBreak/>
              <w:t>Byon</w:t>
            </w:r>
            <w:proofErr w:type="spellEnd"/>
            <w:r w:rsidRPr="0011597C">
              <w:rPr>
                <w:rFonts w:ascii="Arial" w:hAnsi="Arial" w:cs="Arial"/>
                <w:sz w:val="18"/>
                <w:szCs w:val="18"/>
              </w:rPr>
              <w:t>, 2010</w:t>
            </w:r>
            <w:r w:rsidRPr="0011597C">
              <w:rPr>
                <w:rFonts w:ascii="Arial" w:hAnsi="Arial" w:cs="Arial"/>
                <w:noProof/>
                <w:sz w:val="18"/>
                <w:szCs w:val="18"/>
                <w:vertAlign w:val="superscript"/>
              </w:rPr>
              <w:t>38</w:t>
            </w:r>
          </w:p>
        </w:tc>
        <w:tc>
          <w:tcPr>
            <w:tcW w:w="1815" w:type="dxa"/>
          </w:tcPr>
          <w:p w:rsidR="00623B25" w:rsidRPr="0011597C" w:rsidRDefault="00623B25" w:rsidP="008534B0">
            <w:pPr>
              <w:ind w:left="72"/>
              <w:rPr>
                <w:rFonts w:ascii="Arial" w:hAnsi="Arial" w:cs="Arial"/>
                <w:sz w:val="18"/>
                <w:szCs w:val="18"/>
              </w:rPr>
            </w:pPr>
            <w:r w:rsidRPr="0011597C">
              <w:rPr>
                <w:rFonts w:ascii="Arial" w:hAnsi="Arial" w:cs="Arial"/>
                <w:sz w:val="18"/>
                <w:szCs w:val="18"/>
              </w:rPr>
              <w:t>Arnold, 2008</w:t>
            </w:r>
            <w:r w:rsidRPr="0011597C">
              <w:rPr>
                <w:rFonts w:ascii="Arial" w:hAnsi="Arial" w:cs="Arial"/>
                <w:noProof/>
                <w:sz w:val="18"/>
                <w:szCs w:val="18"/>
                <w:vertAlign w:val="superscript"/>
              </w:rPr>
              <w:t>33</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Mease</w:t>
            </w:r>
            <w:proofErr w:type="spellEnd"/>
            <w:r w:rsidRPr="0011597C">
              <w:rPr>
                <w:rFonts w:ascii="Arial" w:hAnsi="Arial" w:cs="Arial"/>
                <w:sz w:val="18"/>
                <w:szCs w:val="18"/>
              </w:rPr>
              <w:t>, 2008</w:t>
            </w:r>
            <w:r w:rsidRPr="0011597C">
              <w:rPr>
                <w:rFonts w:ascii="Arial" w:hAnsi="Arial" w:cs="Arial"/>
                <w:noProof/>
                <w:sz w:val="18"/>
                <w:szCs w:val="18"/>
                <w:vertAlign w:val="superscript"/>
              </w:rPr>
              <w:t>34</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Crofford</w:t>
            </w:r>
            <w:proofErr w:type="spellEnd"/>
            <w:r w:rsidRPr="0011597C">
              <w:rPr>
                <w:rFonts w:ascii="Arial" w:hAnsi="Arial" w:cs="Arial"/>
                <w:sz w:val="18"/>
                <w:szCs w:val="18"/>
              </w:rPr>
              <w:t>, 2005</w:t>
            </w:r>
            <w:r w:rsidRPr="0011597C">
              <w:rPr>
                <w:rFonts w:ascii="Arial" w:hAnsi="Arial" w:cs="Arial"/>
                <w:noProof/>
                <w:sz w:val="18"/>
                <w:szCs w:val="18"/>
                <w:vertAlign w:val="superscript"/>
              </w:rPr>
              <w:t>35</w:t>
            </w:r>
          </w:p>
          <w:p w:rsidR="00623B25" w:rsidRPr="0011597C" w:rsidRDefault="00623B25" w:rsidP="008534B0">
            <w:pPr>
              <w:ind w:left="72"/>
              <w:rPr>
                <w:rFonts w:ascii="Arial" w:hAnsi="Arial" w:cs="Arial"/>
                <w:sz w:val="18"/>
                <w:szCs w:val="18"/>
              </w:rPr>
            </w:pPr>
            <w:proofErr w:type="spellStart"/>
            <w:r w:rsidRPr="0011597C">
              <w:rPr>
                <w:rFonts w:ascii="Arial" w:hAnsi="Arial" w:cs="Arial"/>
                <w:sz w:val="18"/>
                <w:szCs w:val="18"/>
              </w:rPr>
              <w:t>Pauer</w:t>
            </w:r>
            <w:proofErr w:type="spellEnd"/>
            <w:r w:rsidRPr="0011597C">
              <w:rPr>
                <w:rFonts w:ascii="Arial" w:hAnsi="Arial" w:cs="Arial"/>
                <w:sz w:val="18"/>
                <w:szCs w:val="18"/>
              </w:rPr>
              <w:t xml:space="preserve"> 2008</w:t>
            </w:r>
            <w:r w:rsidRPr="0011597C">
              <w:rPr>
                <w:rFonts w:ascii="Arial" w:hAnsi="Arial" w:cs="Arial"/>
                <w:noProof/>
                <w:sz w:val="18"/>
                <w:szCs w:val="18"/>
                <w:vertAlign w:val="superscript"/>
              </w:rPr>
              <w:t>37</w:t>
            </w:r>
          </w:p>
        </w:tc>
        <w:tc>
          <w:tcPr>
            <w:tcW w:w="2178" w:type="dxa"/>
            <w:shd w:val="clear" w:color="auto" w:fill="auto"/>
          </w:tcPr>
          <w:p w:rsidR="00623B25" w:rsidRPr="0011597C" w:rsidRDefault="00623B25" w:rsidP="008534B0">
            <w:pPr>
              <w:tabs>
                <w:tab w:val="left" w:pos="1422"/>
                <w:tab w:val="left" w:pos="1531"/>
              </w:tabs>
              <w:ind w:left="72"/>
              <w:rPr>
                <w:rFonts w:ascii="Arial" w:hAnsi="Arial" w:cs="Arial"/>
                <w:sz w:val="18"/>
                <w:szCs w:val="18"/>
              </w:rPr>
            </w:pPr>
            <w:r w:rsidRPr="0011597C">
              <w:rPr>
                <w:rFonts w:ascii="Arial" w:hAnsi="Arial" w:cs="Arial"/>
                <w:sz w:val="18"/>
                <w:szCs w:val="18"/>
              </w:rPr>
              <w:t>RCT inputs: High</w:t>
            </w:r>
            <w:r w:rsidR="00762639">
              <w:rPr>
                <w:rFonts w:ascii="Arial" w:hAnsi="Arial" w:cs="Arial"/>
                <w:sz w:val="18"/>
                <w:szCs w:val="18"/>
              </w:rPr>
              <w:t xml:space="preserve"> </w:t>
            </w:r>
          </w:p>
          <w:p w:rsidR="00623B25" w:rsidRPr="0011597C" w:rsidRDefault="00623B25" w:rsidP="008534B0">
            <w:pPr>
              <w:tabs>
                <w:tab w:val="left" w:pos="1422"/>
                <w:tab w:val="left" w:pos="1531"/>
              </w:tabs>
              <w:ind w:left="72"/>
              <w:rPr>
                <w:rFonts w:ascii="Arial" w:hAnsi="Arial" w:cs="Arial"/>
                <w:sz w:val="18"/>
                <w:szCs w:val="18"/>
              </w:rPr>
            </w:pPr>
          </w:p>
          <w:p w:rsidR="00623B25" w:rsidRPr="0011597C" w:rsidRDefault="00623B25" w:rsidP="008534B0">
            <w:pPr>
              <w:ind w:left="72"/>
              <w:rPr>
                <w:rFonts w:ascii="Arial" w:hAnsi="Arial" w:cs="Arial"/>
                <w:sz w:val="18"/>
                <w:szCs w:val="18"/>
              </w:rPr>
            </w:pPr>
            <w:r w:rsidRPr="0011597C">
              <w:rPr>
                <w:rFonts w:ascii="Arial" w:hAnsi="Arial" w:cs="Arial"/>
                <w:sz w:val="18"/>
                <w:szCs w:val="18"/>
              </w:rPr>
              <w:t>Pooled: issues detailed in rationale</w:t>
            </w:r>
          </w:p>
        </w:tc>
        <w:tc>
          <w:tcPr>
            <w:tcW w:w="7192" w:type="dxa"/>
            <w:shd w:val="clear" w:color="auto" w:fill="auto"/>
          </w:tcPr>
          <w:p w:rsidR="00623B25" w:rsidRPr="0011597C" w:rsidRDefault="00623B25" w:rsidP="008534B0">
            <w:pPr>
              <w:ind w:left="46"/>
              <w:rPr>
                <w:rFonts w:ascii="Arial" w:hAnsi="Arial" w:cs="Arial"/>
                <w:sz w:val="18"/>
                <w:szCs w:val="18"/>
              </w:rPr>
            </w:pPr>
            <w:r w:rsidRPr="0011597C">
              <w:rPr>
                <w:rFonts w:ascii="Arial" w:hAnsi="Arial" w:cs="Arial"/>
                <w:sz w:val="18"/>
                <w:szCs w:val="18"/>
              </w:rPr>
              <w:t xml:space="preserve">Pooled: No a priori hypothesis of direction of treatment effect in subgroups, study power not discussed, outcome assessment timing varies by study, attrition not discussed despite high attrition in input RCTs, </w:t>
            </w:r>
            <w:r w:rsidRPr="0011597C">
              <w:rPr>
                <w:rFonts w:ascii="Arial" w:hAnsi="Arial" w:cs="Arial"/>
                <w:color w:val="000000"/>
                <w:sz w:val="18"/>
                <w:szCs w:val="18"/>
              </w:rPr>
              <w:t>insufficient information on actual (vs. predicted) clinical values to evaluate changes from baseline in subgroups</w:t>
            </w:r>
          </w:p>
          <w:p w:rsidR="00623B25" w:rsidRPr="0011597C" w:rsidRDefault="00623B25" w:rsidP="008534B0">
            <w:pPr>
              <w:ind w:left="46"/>
              <w:rPr>
                <w:rFonts w:ascii="Arial" w:hAnsi="Arial" w:cs="Arial"/>
                <w:sz w:val="18"/>
                <w:szCs w:val="18"/>
              </w:rPr>
            </w:pPr>
          </w:p>
          <w:p w:rsidR="00623B25" w:rsidRPr="0011597C" w:rsidRDefault="00623B25" w:rsidP="008534B0">
            <w:pPr>
              <w:ind w:left="46"/>
              <w:rPr>
                <w:rFonts w:ascii="Arial" w:hAnsi="Arial" w:cs="Arial"/>
                <w:sz w:val="18"/>
                <w:szCs w:val="18"/>
              </w:rPr>
            </w:pPr>
            <w:r w:rsidRPr="0011597C">
              <w:rPr>
                <w:rFonts w:ascii="Arial" w:hAnsi="Arial" w:cs="Arial"/>
                <w:sz w:val="18"/>
                <w:szCs w:val="18"/>
              </w:rPr>
              <w:t>input RCTs: High risk of bias (3 of 4 studies, 4</w:t>
            </w:r>
            <w:r w:rsidRPr="0011597C">
              <w:rPr>
                <w:rFonts w:ascii="Arial" w:hAnsi="Arial" w:cs="Arial"/>
                <w:sz w:val="18"/>
                <w:szCs w:val="18"/>
                <w:vertAlign w:val="superscript"/>
              </w:rPr>
              <w:t>th</w:t>
            </w:r>
            <w:r w:rsidRPr="0011597C">
              <w:rPr>
                <w:rFonts w:ascii="Arial" w:hAnsi="Arial" w:cs="Arial"/>
                <w:sz w:val="18"/>
                <w:szCs w:val="18"/>
              </w:rPr>
              <w:t xml:space="preserve"> study unable to determine; </w:t>
            </w:r>
            <w:proofErr w:type="spellStart"/>
            <w:r w:rsidRPr="0011597C">
              <w:rPr>
                <w:rFonts w:ascii="Arial" w:hAnsi="Arial" w:cs="Arial"/>
                <w:sz w:val="18"/>
                <w:szCs w:val="18"/>
              </w:rPr>
              <w:t>Pauer</w:t>
            </w:r>
            <w:proofErr w:type="spellEnd"/>
            <w:r w:rsidRPr="0011597C">
              <w:rPr>
                <w:rFonts w:ascii="Arial" w:hAnsi="Arial" w:cs="Arial"/>
                <w:sz w:val="18"/>
                <w:szCs w:val="18"/>
              </w:rPr>
              <w:t xml:space="preserve"> et al. is an abstract only – unable to assess quality)</w:t>
            </w:r>
          </w:p>
        </w:tc>
      </w:tr>
    </w:tbl>
    <w:p w:rsidR="00D90B24" w:rsidRPr="000F7DC7" w:rsidRDefault="00D90B24" w:rsidP="005F3366">
      <w:pPr>
        <w:keepNext/>
      </w:pPr>
    </w:p>
    <w:sectPr w:rsidR="00D90B24" w:rsidRPr="000F7DC7" w:rsidSect="008D0481">
      <w:footerReference w:type="default" r:id="rId8"/>
      <w:pgSz w:w="15840" w:h="12240" w:orient="landscape"/>
      <w:pgMar w:top="1440" w:right="1440" w:bottom="1440" w:left="1440" w:header="720" w:footer="720" w:gutter="0"/>
      <w:pgNumType w:start="54"/>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12D8A1" w15:done="0"/>
  <w15:commentEx w15:paraId="02F41ADA" w15:done="0"/>
  <w15:commentEx w15:paraId="33C3A0A9" w15:done="0"/>
  <w15:commentEx w15:paraId="3B1D429D" w15:done="0"/>
  <w15:commentEx w15:paraId="71FDFE5D" w15:done="0"/>
  <w15:commentEx w15:paraId="0E8B4DC0" w15:done="0"/>
  <w15:commentEx w15:paraId="295640AB" w15:done="0"/>
  <w15:commentEx w15:paraId="4F514E81" w15:done="0"/>
  <w15:commentEx w15:paraId="19E5B5A2" w15:done="0"/>
  <w15:commentEx w15:paraId="7C5D63E0" w15:done="0"/>
  <w15:commentEx w15:paraId="656B45D6" w15:done="0"/>
  <w15:commentEx w15:paraId="076FBF55" w15:done="0"/>
  <w15:commentEx w15:paraId="7C76E696" w15:done="0"/>
  <w15:commentEx w15:paraId="35C88F95" w15:done="0"/>
  <w15:commentEx w15:paraId="0D555AB9" w15:done="0"/>
  <w15:commentEx w15:paraId="069CFB2C" w15:done="0"/>
  <w15:commentEx w15:paraId="51860542" w15:done="0"/>
  <w15:commentEx w15:paraId="0D44615C" w15:done="0"/>
  <w15:commentEx w15:paraId="225E3217" w15:done="0"/>
  <w15:commentEx w15:paraId="3CA25281" w15:done="0"/>
  <w15:commentEx w15:paraId="0F194C34" w15:done="0"/>
  <w15:commentEx w15:paraId="27814E14" w15:done="0"/>
  <w15:commentEx w15:paraId="1E43073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0A" w:rsidRDefault="00A46D0A">
      <w:r>
        <w:separator/>
      </w:r>
    </w:p>
    <w:p w:rsidR="00A46D0A" w:rsidRDefault="00A46D0A"/>
  </w:endnote>
  <w:endnote w:type="continuationSeparator" w:id="0">
    <w:p w:rsidR="00A46D0A" w:rsidRDefault="00A46D0A">
      <w:r>
        <w:continuationSeparator/>
      </w:r>
    </w:p>
    <w:p w:rsidR="00A46D0A" w:rsidRDefault="00A46D0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Arial Bold">
    <w:panose1 w:val="020B0704020202020204"/>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9A" w:rsidRPr="001B2F21" w:rsidRDefault="00FB029A" w:rsidP="00570323">
    <w:pPr>
      <w:pStyle w:val="PageNumber"/>
    </w:pPr>
    <w:r w:rsidRPr="001B2F21">
      <w:t>E-</w:t>
    </w:r>
    <w:sdt>
      <w:sdtPr>
        <w:id w:val="34852891"/>
        <w:docPartObj>
          <w:docPartGallery w:val="Page Numbers (Bottom of Page)"/>
          <w:docPartUnique/>
        </w:docPartObj>
      </w:sdtPr>
      <w:sdtContent>
        <w:r w:rsidR="008012D8" w:rsidRPr="001B2F21">
          <w:fldChar w:fldCharType="begin"/>
        </w:r>
        <w:r w:rsidRPr="001B2F21">
          <w:instrText xml:space="preserve"> PAGE   \* MERGEFORMAT </w:instrText>
        </w:r>
        <w:r w:rsidR="008012D8" w:rsidRPr="001B2F21">
          <w:fldChar w:fldCharType="separate"/>
        </w:r>
        <w:r w:rsidR="008D0481">
          <w:rPr>
            <w:noProof/>
          </w:rPr>
          <w:t>56</w:t>
        </w:r>
        <w:r w:rsidR="008012D8" w:rsidRPr="001B2F21">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0A" w:rsidRDefault="00A46D0A">
      <w:r>
        <w:separator/>
      </w:r>
    </w:p>
    <w:p w:rsidR="00A46D0A" w:rsidRDefault="00A46D0A"/>
  </w:footnote>
  <w:footnote w:type="continuationSeparator" w:id="0">
    <w:p w:rsidR="00A46D0A" w:rsidRDefault="00A46D0A">
      <w:r>
        <w:continuationSeparator/>
      </w:r>
    </w:p>
    <w:p w:rsidR="00A46D0A" w:rsidRDefault="00A46D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D76A0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B20B6"/>
    <w:multiLevelType w:val="hybridMultilevel"/>
    <w:tmpl w:val="6286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EB1ADA"/>
    <w:multiLevelType w:val="hybridMultilevel"/>
    <w:tmpl w:val="D3E492D0"/>
    <w:lvl w:ilvl="0" w:tplc="14289F1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A4176"/>
    <w:multiLevelType w:val="hybridMultilevel"/>
    <w:tmpl w:val="08A064F4"/>
    <w:lvl w:ilvl="0" w:tplc="04090003">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63B2D"/>
    <w:multiLevelType w:val="hybridMultilevel"/>
    <w:tmpl w:val="7DB8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64398"/>
    <w:multiLevelType w:val="hybridMultilevel"/>
    <w:tmpl w:val="C3FAED1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CA4F8F"/>
    <w:multiLevelType w:val="hybridMultilevel"/>
    <w:tmpl w:val="D5FCA0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B518A"/>
    <w:multiLevelType w:val="hybridMultilevel"/>
    <w:tmpl w:val="E5848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4E31D3"/>
    <w:multiLevelType w:val="hybridMultilevel"/>
    <w:tmpl w:val="3F505B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1181AAE"/>
    <w:multiLevelType w:val="hybridMultilevel"/>
    <w:tmpl w:val="7AD4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4750A7"/>
    <w:multiLevelType w:val="hybridMultilevel"/>
    <w:tmpl w:val="DFF0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000E9"/>
    <w:multiLevelType w:val="hybridMultilevel"/>
    <w:tmpl w:val="12E8A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3E1BFA"/>
    <w:multiLevelType w:val="hybridMultilevel"/>
    <w:tmpl w:val="957896E4"/>
    <w:lvl w:ilvl="0" w:tplc="8A0688F2">
      <w:start w:val="1"/>
      <w:numFmt w:val="decimal"/>
      <w:lvlText w:val="%1."/>
      <w:lvlJc w:val="left"/>
      <w:pPr>
        <w:ind w:left="787" w:hanging="360"/>
      </w:pPr>
      <w:rPr>
        <w:rFonts w:ascii="Times New Roman" w:hAnsi="Times New Roman" w:hint="default"/>
        <w:b w:val="0"/>
        <w:i w:val="0"/>
        <w:sz w:val="2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5">
    <w:nsid w:val="36F4663D"/>
    <w:multiLevelType w:val="hybridMultilevel"/>
    <w:tmpl w:val="0010DF3C"/>
    <w:lvl w:ilvl="0" w:tplc="38EC40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C4FBF"/>
    <w:multiLevelType w:val="hybridMultilevel"/>
    <w:tmpl w:val="3158546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367F6"/>
    <w:multiLevelType w:val="hybridMultilevel"/>
    <w:tmpl w:val="498E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DB2"/>
    <w:multiLevelType w:val="hybridMultilevel"/>
    <w:tmpl w:val="4D7032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D258DE"/>
    <w:multiLevelType w:val="hybridMultilevel"/>
    <w:tmpl w:val="B73C0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7747362"/>
    <w:multiLevelType w:val="hybridMultilevel"/>
    <w:tmpl w:val="E9AC1E20"/>
    <w:lvl w:ilvl="0" w:tplc="1182262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EC67BC"/>
    <w:multiLevelType w:val="hybridMultilevel"/>
    <w:tmpl w:val="B8E24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F43AC2"/>
    <w:multiLevelType w:val="hybridMultilevel"/>
    <w:tmpl w:val="BCDA86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417BE"/>
    <w:multiLevelType w:val="hybridMultilevel"/>
    <w:tmpl w:val="C28A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63CB3"/>
    <w:multiLevelType w:val="hybridMultilevel"/>
    <w:tmpl w:val="F0A4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0858A9"/>
    <w:multiLevelType w:val="hybridMultilevel"/>
    <w:tmpl w:val="342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E2FB2"/>
    <w:multiLevelType w:val="hybridMultilevel"/>
    <w:tmpl w:val="D87E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0A11F1"/>
    <w:multiLevelType w:val="hybridMultilevel"/>
    <w:tmpl w:val="0324C7EA"/>
    <w:lvl w:ilvl="0" w:tplc="0409000F">
      <w:start w:val="1"/>
      <w:numFmt w:val="decimal"/>
      <w:lvlText w:val="%1."/>
      <w:lvlJc w:val="left"/>
      <w:pPr>
        <w:ind w:left="720" w:hanging="360"/>
      </w:pPr>
      <w:rPr>
        <w:rFonts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6D72F6"/>
    <w:multiLevelType w:val="hybridMultilevel"/>
    <w:tmpl w:val="ABBE2E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C4F7A"/>
    <w:multiLevelType w:val="hybridMultilevel"/>
    <w:tmpl w:val="606A3BFA"/>
    <w:lvl w:ilvl="0" w:tplc="8A0688F2">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11B3D"/>
    <w:multiLevelType w:val="hybridMultilevel"/>
    <w:tmpl w:val="705C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5"/>
  </w:num>
  <w:num w:numId="4">
    <w:abstractNumId w:val="8"/>
  </w:num>
  <w:num w:numId="5">
    <w:abstractNumId w:val="21"/>
  </w:num>
  <w:num w:numId="6">
    <w:abstractNumId w:val="24"/>
  </w:num>
  <w:num w:numId="7">
    <w:abstractNumId w:val="4"/>
  </w:num>
  <w:num w:numId="8">
    <w:abstractNumId w:val="33"/>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6"/>
  </w:num>
  <w:num w:numId="13">
    <w:abstractNumId w:val="1"/>
  </w:num>
  <w:num w:numId="14">
    <w:abstractNumId w:val="16"/>
  </w:num>
  <w:num w:numId="15">
    <w:abstractNumId w:val="7"/>
  </w:num>
  <w:num w:numId="16">
    <w:abstractNumId w:val="17"/>
  </w:num>
  <w:num w:numId="17">
    <w:abstractNumId w:val="3"/>
  </w:num>
  <w:num w:numId="18">
    <w:abstractNumId w:val="12"/>
  </w:num>
  <w:num w:numId="19">
    <w:abstractNumId w:val="15"/>
  </w:num>
  <w:num w:numId="20">
    <w:abstractNumId w:val="10"/>
  </w:num>
  <w:num w:numId="21">
    <w:abstractNumId w:val="23"/>
  </w:num>
  <w:num w:numId="22">
    <w:abstractNumId w:val="30"/>
  </w:num>
  <w:num w:numId="23">
    <w:abstractNumId w:val="11"/>
  </w:num>
  <w:num w:numId="24">
    <w:abstractNumId w:val="35"/>
  </w:num>
  <w:num w:numId="25">
    <w:abstractNumId w:val="9"/>
  </w:num>
  <w:num w:numId="26">
    <w:abstractNumId w:val="31"/>
  </w:num>
  <w:num w:numId="27">
    <w:abstractNumId w:val="0"/>
  </w:num>
  <w:num w:numId="28">
    <w:abstractNumId w:val="13"/>
  </w:num>
  <w:num w:numId="29">
    <w:abstractNumId w:val="6"/>
  </w:num>
  <w:num w:numId="30">
    <w:abstractNumId w:val="18"/>
  </w:num>
  <w:num w:numId="31">
    <w:abstractNumId w:val="22"/>
  </w:num>
  <w:num w:numId="32">
    <w:abstractNumId w:val="2"/>
  </w:num>
  <w:num w:numId="33">
    <w:abstractNumId w:val="27"/>
  </w:num>
  <w:num w:numId="34">
    <w:abstractNumId w:val="34"/>
  </w:num>
  <w:num w:numId="35">
    <w:abstractNumId w:val="20"/>
  </w:num>
  <w:num w:numId="36">
    <w:abstractNumId w:val="32"/>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lyn Eells">
    <w15:presenceInfo w15:providerId="AD" w15:userId="S-1-5-21-1317685450-932939914-1801392649-654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1"/>
  <w:stylePaneSortMethod w:val="000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EPC Copy with abbreviated journal nam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xaf5zssetx2sjeae0cpw2tavzpszser9a20&quot;&gt;Fibro report EndNote Library_5-13-14 ME -mlf update deduped_final 9-24-14 Copy&lt;record-ids&gt;&lt;item&gt;14&lt;/item&gt;&lt;item&gt;18&lt;/item&gt;&lt;item&gt;19&lt;/item&gt;&lt;item&gt;23&lt;/item&gt;&lt;item&gt;79&lt;/item&gt;&lt;item&gt;96&lt;/item&gt;&lt;item&gt;118&lt;/item&gt;&lt;item&gt;129&lt;/item&gt;&lt;item&gt;167&lt;/item&gt;&lt;item&gt;172&lt;/item&gt;&lt;item&gt;203&lt;/item&gt;&lt;item&gt;647&lt;/item&gt;&lt;item&gt;1181&lt;/item&gt;&lt;item&gt;2201&lt;/item&gt;&lt;item&gt;3840&lt;/item&gt;&lt;item&gt;3919&lt;/item&gt;&lt;item&gt;4216&lt;/item&gt;&lt;item&gt;4249&lt;/item&gt;&lt;item&gt;4311&lt;/item&gt;&lt;item&gt;4346&lt;/item&gt;&lt;item&gt;4347&lt;/item&gt;&lt;item&gt;4348&lt;/item&gt;&lt;item&gt;4350&lt;/item&gt;&lt;item&gt;4351&lt;/item&gt;&lt;item&gt;4352&lt;/item&gt;&lt;item&gt;4355&lt;/item&gt;&lt;item&gt;4358&lt;/item&gt;&lt;item&gt;4376&lt;/item&gt;&lt;item&gt;4379&lt;/item&gt;&lt;item&gt;4405&lt;/item&gt;&lt;item&gt;4414&lt;/item&gt;&lt;item&gt;4420&lt;/item&gt;&lt;item&gt;4489&lt;/item&gt;&lt;item&gt;4491&lt;/item&gt;&lt;item&gt;4495&lt;/item&gt;&lt;item&gt;4525&lt;/item&gt;&lt;item&gt;4603&lt;/item&gt;&lt;item&gt;4611&lt;/item&gt;&lt;item&gt;4618&lt;/item&gt;&lt;item&gt;4619&lt;/item&gt;&lt;item&gt;4620&lt;/item&gt;&lt;item&gt;4622&lt;/item&gt;&lt;item&gt;4623&lt;/item&gt;&lt;item&gt;4624&lt;/item&gt;&lt;item&gt;4630&lt;/item&gt;&lt;item&gt;4638&lt;/item&gt;&lt;item&gt;4642&lt;/item&gt;&lt;item&gt;4646&lt;/item&gt;&lt;item&gt;4647&lt;/item&gt;&lt;item&gt;4650&lt;/item&gt;&lt;item&gt;4651&lt;/item&gt;&lt;item&gt;4653&lt;/item&gt;&lt;item&gt;4657&lt;/item&gt;&lt;item&gt;4665&lt;/item&gt;&lt;item&gt;4675&lt;/item&gt;&lt;item&gt;4677&lt;/item&gt;&lt;item&gt;4681&lt;/item&gt;&lt;item&gt;4683&lt;/item&gt;&lt;item&gt;4687&lt;/item&gt;&lt;item&gt;4688&lt;/item&gt;&lt;item&gt;4689&lt;/item&gt;&lt;item&gt;4690&lt;/item&gt;&lt;item&gt;4691&lt;/item&gt;&lt;item&gt;4692&lt;/item&gt;&lt;item&gt;4694&lt;/item&gt;&lt;item&gt;4695&lt;/item&gt;&lt;item&gt;4696&lt;/item&gt;&lt;item&gt;4697&lt;/item&gt;&lt;item&gt;4699&lt;/item&gt;&lt;item&gt;4700&lt;/item&gt;&lt;item&gt;4701&lt;/item&gt;&lt;item&gt;4702&lt;/item&gt;&lt;item&gt;4703&lt;/item&gt;&lt;item&gt;4706&lt;/item&gt;&lt;item&gt;4752&lt;/item&gt;&lt;item&gt;4782&lt;/item&gt;&lt;item&gt;5027&lt;/item&gt;&lt;item&gt;5028&lt;/item&gt;&lt;item&gt;5029&lt;/item&gt;&lt;item&gt;5030&lt;/item&gt;&lt;item&gt;5033&lt;/item&gt;&lt;item&gt;5034&lt;/item&gt;&lt;item&gt;5035&lt;/item&gt;&lt;/record-ids&gt;&lt;/item&gt;&lt;/Libraries&gt;"/>
  </w:docVars>
  <w:rsids>
    <w:rsidRoot w:val="006F5130"/>
    <w:rsid w:val="00001B1C"/>
    <w:rsid w:val="00003CDD"/>
    <w:rsid w:val="000074DC"/>
    <w:rsid w:val="000117F8"/>
    <w:rsid w:val="00011CC8"/>
    <w:rsid w:val="000129D0"/>
    <w:rsid w:val="000214EE"/>
    <w:rsid w:val="000416F1"/>
    <w:rsid w:val="0006017D"/>
    <w:rsid w:val="00061A79"/>
    <w:rsid w:val="00075F59"/>
    <w:rsid w:val="00077518"/>
    <w:rsid w:val="00080D51"/>
    <w:rsid w:val="00081848"/>
    <w:rsid w:val="00082D90"/>
    <w:rsid w:val="000844D9"/>
    <w:rsid w:val="000850F6"/>
    <w:rsid w:val="0009453F"/>
    <w:rsid w:val="00096159"/>
    <w:rsid w:val="00096941"/>
    <w:rsid w:val="00097974"/>
    <w:rsid w:val="000A56A5"/>
    <w:rsid w:val="000B2BF4"/>
    <w:rsid w:val="000D0CAC"/>
    <w:rsid w:val="000D43B5"/>
    <w:rsid w:val="000D54CA"/>
    <w:rsid w:val="000D59A9"/>
    <w:rsid w:val="000D6C31"/>
    <w:rsid w:val="000E5C90"/>
    <w:rsid w:val="000E6F73"/>
    <w:rsid w:val="000F15CE"/>
    <w:rsid w:val="000F5F7A"/>
    <w:rsid w:val="000F7DC7"/>
    <w:rsid w:val="00100862"/>
    <w:rsid w:val="00105C03"/>
    <w:rsid w:val="001176E4"/>
    <w:rsid w:val="00120920"/>
    <w:rsid w:val="00126B87"/>
    <w:rsid w:val="00131159"/>
    <w:rsid w:val="00132B29"/>
    <w:rsid w:val="00141A8B"/>
    <w:rsid w:val="00141AD8"/>
    <w:rsid w:val="00141DB6"/>
    <w:rsid w:val="00142277"/>
    <w:rsid w:val="00150024"/>
    <w:rsid w:val="001501AC"/>
    <w:rsid w:val="00156F09"/>
    <w:rsid w:val="00160129"/>
    <w:rsid w:val="00160147"/>
    <w:rsid w:val="001647C7"/>
    <w:rsid w:val="00165DBD"/>
    <w:rsid w:val="0016619E"/>
    <w:rsid w:val="00167198"/>
    <w:rsid w:val="001745C4"/>
    <w:rsid w:val="00175BD9"/>
    <w:rsid w:val="0017667A"/>
    <w:rsid w:val="00183A8E"/>
    <w:rsid w:val="001865FC"/>
    <w:rsid w:val="00187498"/>
    <w:rsid w:val="00187513"/>
    <w:rsid w:val="00190362"/>
    <w:rsid w:val="001930D0"/>
    <w:rsid w:val="00194314"/>
    <w:rsid w:val="00196B2C"/>
    <w:rsid w:val="001C070E"/>
    <w:rsid w:val="001C07DF"/>
    <w:rsid w:val="001C4886"/>
    <w:rsid w:val="001D12C3"/>
    <w:rsid w:val="001E11DB"/>
    <w:rsid w:val="001E593D"/>
    <w:rsid w:val="001E6D3A"/>
    <w:rsid w:val="001E762C"/>
    <w:rsid w:val="001F00D7"/>
    <w:rsid w:val="001F2777"/>
    <w:rsid w:val="001F5D30"/>
    <w:rsid w:val="001F5FC4"/>
    <w:rsid w:val="00201F4B"/>
    <w:rsid w:val="002058EF"/>
    <w:rsid w:val="00205EF3"/>
    <w:rsid w:val="00213A30"/>
    <w:rsid w:val="00217B4E"/>
    <w:rsid w:val="002217BC"/>
    <w:rsid w:val="002220C4"/>
    <w:rsid w:val="0022253C"/>
    <w:rsid w:val="002239FF"/>
    <w:rsid w:val="00225E93"/>
    <w:rsid w:val="0023053C"/>
    <w:rsid w:val="00232435"/>
    <w:rsid w:val="00234F65"/>
    <w:rsid w:val="0024184D"/>
    <w:rsid w:val="002437B1"/>
    <w:rsid w:val="00257A54"/>
    <w:rsid w:val="00257BAA"/>
    <w:rsid w:val="00263CC8"/>
    <w:rsid w:val="0026461F"/>
    <w:rsid w:val="00264D77"/>
    <w:rsid w:val="00273958"/>
    <w:rsid w:val="00275260"/>
    <w:rsid w:val="002777AD"/>
    <w:rsid w:val="00282197"/>
    <w:rsid w:val="002844D3"/>
    <w:rsid w:val="002930EC"/>
    <w:rsid w:val="002954C8"/>
    <w:rsid w:val="00295FB3"/>
    <w:rsid w:val="002965E1"/>
    <w:rsid w:val="00296B55"/>
    <w:rsid w:val="00297882"/>
    <w:rsid w:val="002A00E2"/>
    <w:rsid w:val="002A09F0"/>
    <w:rsid w:val="002A63F1"/>
    <w:rsid w:val="002A7892"/>
    <w:rsid w:val="002A7A3B"/>
    <w:rsid w:val="002B24B9"/>
    <w:rsid w:val="002B5F9E"/>
    <w:rsid w:val="002B6FEF"/>
    <w:rsid w:val="002C36B1"/>
    <w:rsid w:val="002C61F0"/>
    <w:rsid w:val="002D2ECE"/>
    <w:rsid w:val="002D3D04"/>
    <w:rsid w:val="002E24D3"/>
    <w:rsid w:val="002E7051"/>
    <w:rsid w:val="002F2E74"/>
    <w:rsid w:val="00300595"/>
    <w:rsid w:val="00302622"/>
    <w:rsid w:val="003063F0"/>
    <w:rsid w:val="00306A28"/>
    <w:rsid w:val="003102B2"/>
    <w:rsid w:val="00314727"/>
    <w:rsid w:val="0031514E"/>
    <w:rsid w:val="00327950"/>
    <w:rsid w:val="003302EC"/>
    <w:rsid w:val="003319F4"/>
    <w:rsid w:val="00332926"/>
    <w:rsid w:val="00334953"/>
    <w:rsid w:val="003457BA"/>
    <w:rsid w:val="00345E7F"/>
    <w:rsid w:val="003605C3"/>
    <w:rsid w:val="0036230F"/>
    <w:rsid w:val="003662AB"/>
    <w:rsid w:val="00370668"/>
    <w:rsid w:val="003736F0"/>
    <w:rsid w:val="00375B7A"/>
    <w:rsid w:val="0038000D"/>
    <w:rsid w:val="00380241"/>
    <w:rsid w:val="00382285"/>
    <w:rsid w:val="00383DA2"/>
    <w:rsid w:val="003852ED"/>
    <w:rsid w:val="00385AB2"/>
    <w:rsid w:val="00385E65"/>
    <w:rsid w:val="003906C5"/>
    <w:rsid w:val="00394921"/>
    <w:rsid w:val="00396601"/>
    <w:rsid w:val="003A0F75"/>
    <w:rsid w:val="003A1C8B"/>
    <w:rsid w:val="003A755A"/>
    <w:rsid w:val="003B1B7B"/>
    <w:rsid w:val="003B5C7C"/>
    <w:rsid w:val="003B7CE2"/>
    <w:rsid w:val="003C2709"/>
    <w:rsid w:val="003D041D"/>
    <w:rsid w:val="003D2422"/>
    <w:rsid w:val="003D388D"/>
    <w:rsid w:val="003E0E6B"/>
    <w:rsid w:val="003E26A8"/>
    <w:rsid w:val="003E6C81"/>
    <w:rsid w:val="003F21BA"/>
    <w:rsid w:val="003F771B"/>
    <w:rsid w:val="0040239E"/>
    <w:rsid w:val="00402410"/>
    <w:rsid w:val="004041A8"/>
    <w:rsid w:val="004041D3"/>
    <w:rsid w:val="004044D0"/>
    <w:rsid w:val="00405063"/>
    <w:rsid w:val="00407ECC"/>
    <w:rsid w:val="004213FD"/>
    <w:rsid w:val="00423BD2"/>
    <w:rsid w:val="00425514"/>
    <w:rsid w:val="004263C5"/>
    <w:rsid w:val="00432E13"/>
    <w:rsid w:val="00433195"/>
    <w:rsid w:val="00441158"/>
    <w:rsid w:val="00443C7F"/>
    <w:rsid w:val="0044411C"/>
    <w:rsid w:val="0044499E"/>
    <w:rsid w:val="00450FB7"/>
    <w:rsid w:val="00455396"/>
    <w:rsid w:val="00466512"/>
    <w:rsid w:val="004704E1"/>
    <w:rsid w:val="00470FF9"/>
    <w:rsid w:val="00471861"/>
    <w:rsid w:val="0047199D"/>
    <w:rsid w:val="00472265"/>
    <w:rsid w:val="00475CBB"/>
    <w:rsid w:val="00481283"/>
    <w:rsid w:val="00484569"/>
    <w:rsid w:val="00487314"/>
    <w:rsid w:val="00490837"/>
    <w:rsid w:val="004926CD"/>
    <w:rsid w:val="0049453C"/>
    <w:rsid w:val="00494ABB"/>
    <w:rsid w:val="004A7BDB"/>
    <w:rsid w:val="004B1CED"/>
    <w:rsid w:val="004B3884"/>
    <w:rsid w:val="004B435B"/>
    <w:rsid w:val="004B6531"/>
    <w:rsid w:val="004C1097"/>
    <w:rsid w:val="004C1386"/>
    <w:rsid w:val="004C1904"/>
    <w:rsid w:val="004C3937"/>
    <w:rsid w:val="004C587E"/>
    <w:rsid w:val="004C6D04"/>
    <w:rsid w:val="004C7928"/>
    <w:rsid w:val="004D11EC"/>
    <w:rsid w:val="004D48DD"/>
    <w:rsid w:val="004D50AB"/>
    <w:rsid w:val="004E3C7A"/>
    <w:rsid w:val="004E3FB6"/>
    <w:rsid w:val="004E47FB"/>
    <w:rsid w:val="004E5257"/>
    <w:rsid w:val="004E7D5C"/>
    <w:rsid w:val="004F0D7A"/>
    <w:rsid w:val="00501BE1"/>
    <w:rsid w:val="005034F4"/>
    <w:rsid w:val="005057A2"/>
    <w:rsid w:val="00506905"/>
    <w:rsid w:val="005073D8"/>
    <w:rsid w:val="00512E9C"/>
    <w:rsid w:val="00522272"/>
    <w:rsid w:val="00524C81"/>
    <w:rsid w:val="00525267"/>
    <w:rsid w:val="00526690"/>
    <w:rsid w:val="00531B9F"/>
    <w:rsid w:val="00532C75"/>
    <w:rsid w:val="00537CB9"/>
    <w:rsid w:val="00542611"/>
    <w:rsid w:val="00542A90"/>
    <w:rsid w:val="0054535E"/>
    <w:rsid w:val="00550CE2"/>
    <w:rsid w:val="00564C62"/>
    <w:rsid w:val="005661FC"/>
    <w:rsid w:val="00570323"/>
    <w:rsid w:val="005709C8"/>
    <w:rsid w:val="00571D14"/>
    <w:rsid w:val="00572D42"/>
    <w:rsid w:val="00574DFA"/>
    <w:rsid w:val="00586968"/>
    <w:rsid w:val="005912A0"/>
    <w:rsid w:val="005957E5"/>
    <w:rsid w:val="00596927"/>
    <w:rsid w:val="005A4688"/>
    <w:rsid w:val="005A5A18"/>
    <w:rsid w:val="005B0A27"/>
    <w:rsid w:val="005B3867"/>
    <w:rsid w:val="005B3F29"/>
    <w:rsid w:val="005C0D30"/>
    <w:rsid w:val="005C29FE"/>
    <w:rsid w:val="005C40A6"/>
    <w:rsid w:val="005D29DB"/>
    <w:rsid w:val="005D2C6B"/>
    <w:rsid w:val="005D3553"/>
    <w:rsid w:val="005D64AF"/>
    <w:rsid w:val="005D6ECA"/>
    <w:rsid w:val="005D781E"/>
    <w:rsid w:val="005E41B2"/>
    <w:rsid w:val="005E45E0"/>
    <w:rsid w:val="005E604A"/>
    <w:rsid w:val="005E6717"/>
    <w:rsid w:val="005F1A46"/>
    <w:rsid w:val="005F3366"/>
    <w:rsid w:val="005F5FB4"/>
    <w:rsid w:val="005F6688"/>
    <w:rsid w:val="005F7F44"/>
    <w:rsid w:val="00606666"/>
    <w:rsid w:val="00613BBA"/>
    <w:rsid w:val="00616B5E"/>
    <w:rsid w:val="00621A5F"/>
    <w:rsid w:val="00622558"/>
    <w:rsid w:val="00623B25"/>
    <w:rsid w:val="00623E45"/>
    <w:rsid w:val="00626C31"/>
    <w:rsid w:val="006409CC"/>
    <w:rsid w:val="00644A62"/>
    <w:rsid w:val="006500EF"/>
    <w:rsid w:val="0065385F"/>
    <w:rsid w:val="00653CD6"/>
    <w:rsid w:val="00654402"/>
    <w:rsid w:val="00656C66"/>
    <w:rsid w:val="00657502"/>
    <w:rsid w:val="0066585B"/>
    <w:rsid w:val="00666B55"/>
    <w:rsid w:val="00672C33"/>
    <w:rsid w:val="00673745"/>
    <w:rsid w:val="00675731"/>
    <w:rsid w:val="00677221"/>
    <w:rsid w:val="00680688"/>
    <w:rsid w:val="00680D98"/>
    <w:rsid w:val="00681219"/>
    <w:rsid w:val="0068460F"/>
    <w:rsid w:val="00684C23"/>
    <w:rsid w:val="00685D1E"/>
    <w:rsid w:val="006867B2"/>
    <w:rsid w:val="00691390"/>
    <w:rsid w:val="00693BD6"/>
    <w:rsid w:val="00693E74"/>
    <w:rsid w:val="006953A5"/>
    <w:rsid w:val="006A2FA7"/>
    <w:rsid w:val="006B17BE"/>
    <w:rsid w:val="006B5209"/>
    <w:rsid w:val="006B6899"/>
    <w:rsid w:val="006C2A1D"/>
    <w:rsid w:val="006C3D5E"/>
    <w:rsid w:val="006C4056"/>
    <w:rsid w:val="006C4AD6"/>
    <w:rsid w:val="006D3468"/>
    <w:rsid w:val="006D3E3F"/>
    <w:rsid w:val="006D3FBD"/>
    <w:rsid w:val="006D731C"/>
    <w:rsid w:val="006E4D5E"/>
    <w:rsid w:val="006E5BAE"/>
    <w:rsid w:val="006E7678"/>
    <w:rsid w:val="006F5130"/>
    <w:rsid w:val="006F56F5"/>
    <w:rsid w:val="00700C72"/>
    <w:rsid w:val="00701D3D"/>
    <w:rsid w:val="00706790"/>
    <w:rsid w:val="00710D08"/>
    <w:rsid w:val="00715E6F"/>
    <w:rsid w:val="00720C7D"/>
    <w:rsid w:val="00723354"/>
    <w:rsid w:val="00725474"/>
    <w:rsid w:val="0072736A"/>
    <w:rsid w:val="00731B63"/>
    <w:rsid w:val="007330B8"/>
    <w:rsid w:val="00736817"/>
    <w:rsid w:val="00742309"/>
    <w:rsid w:val="00746065"/>
    <w:rsid w:val="00746B2B"/>
    <w:rsid w:val="007507DD"/>
    <w:rsid w:val="007517D0"/>
    <w:rsid w:val="00754216"/>
    <w:rsid w:val="00754394"/>
    <w:rsid w:val="00755E19"/>
    <w:rsid w:val="0076008A"/>
    <w:rsid w:val="007614A5"/>
    <w:rsid w:val="00762639"/>
    <w:rsid w:val="00762B5B"/>
    <w:rsid w:val="007675C9"/>
    <w:rsid w:val="00776A61"/>
    <w:rsid w:val="00776EF7"/>
    <w:rsid w:val="0078079D"/>
    <w:rsid w:val="00790F13"/>
    <w:rsid w:val="00791F83"/>
    <w:rsid w:val="007A29A7"/>
    <w:rsid w:val="007A616B"/>
    <w:rsid w:val="007B150D"/>
    <w:rsid w:val="007B3D10"/>
    <w:rsid w:val="007C1B6F"/>
    <w:rsid w:val="007C24F5"/>
    <w:rsid w:val="007C538F"/>
    <w:rsid w:val="007C6009"/>
    <w:rsid w:val="007C606F"/>
    <w:rsid w:val="007D5D14"/>
    <w:rsid w:val="007D7470"/>
    <w:rsid w:val="007E2E55"/>
    <w:rsid w:val="007E31F3"/>
    <w:rsid w:val="007E6EF9"/>
    <w:rsid w:val="007E7E04"/>
    <w:rsid w:val="007F023A"/>
    <w:rsid w:val="007F0F67"/>
    <w:rsid w:val="007F5CB8"/>
    <w:rsid w:val="008012D8"/>
    <w:rsid w:val="008017C2"/>
    <w:rsid w:val="0080457C"/>
    <w:rsid w:val="0080538C"/>
    <w:rsid w:val="008058B1"/>
    <w:rsid w:val="00805B40"/>
    <w:rsid w:val="00806795"/>
    <w:rsid w:val="00811E18"/>
    <w:rsid w:val="00815608"/>
    <w:rsid w:val="0082352D"/>
    <w:rsid w:val="0083098F"/>
    <w:rsid w:val="00832E69"/>
    <w:rsid w:val="008458D9"/>
    <w:rsid w:val="00846A05"/>
    <w:rsid w:val="008534B0"/>
    <w:rsid w:val="00860B7A"/>
    <w:rsid w:val="008612DC"/>
    <w:rsid w:val="00863BAA"/>
    <w:rsid w:val="00864B86"/>
    <w:rsid w:val="00864C2D"/>
    <w:rsid w:val="00865A6F"/>
    <w:rsid w:val="008715B1"/>
    <w:rsid w:val="00871BA1"/>
    <w:rsid w:val="0087420D"/>
    <w:rsid w:val="00880ED3"/>
    <w:rsid w:val="008817BB"/>
    <w:rsid w:val="008859D9"/>
    <w:rsid w:val="0088779F"/>
    <w:rsid w:val="00892B51"/>
    <w:rsid w:val="00895F5A"/>
    <w:rsid w:val="008A07F1"/>
    <w:rsid w:val="008A2878"/>
    <w:rsid w:val="008A6597"/>
    <w:rsid w:val="008B77C2"/>
    <w:rsid w:val="008C0549"/>
    <w:rsid w:val="008C3D5C"/>
    <w:rsid w:val="008C6398"/>
    <w:rsid w:val="008D0481"/>
    <w:rsid w:val="008D14C8"/>
    <w:rsid w:val="008D1E69"/>
    <w:rsid w:val="008D2F88"/>
    <w:rsid w:val="008D4CFA"/>
    <w:rsid w:val="008D5B9E"/>
    <w:rsid w:val="008D5EE2"/>
    <w:rsid w:val="008D6095"/>
    <w:rsid w:val="008D790E"/>
    <w:rsid w:val="008E1B19"/>
    <w:rsid w:val="008F0C3C"/>
    <w:rsid w:val="008F0E65"/>
    <w:rsid w:val="008F10A8"/>
    <w:rsid w:val="008F2E49"/>
    <w:rsid w:val="008F3CE7"/>
    <w:rsid w:val="008F5D0C"/>
    <w:rsid w:val="00900341"/>
    <w:rsid w:val="00903965"/>
    <w:rsid w:val="009040DD"/>
    <w:rsid w:val="00914BE3"/>
    <w:rsid w:val="00916EB9"/>
    <w:rsid w:val="00922827"/>
    <w:rsid w:val="009262E9"/>
    <w:rsid w:val="0092648D"/>
    <w:rsid w:val="00933864"/>
    <w:rsid w:val="0093735A"/>
    <w:rsid w:val="0094138B"/>
    <w:rsid w:val="00946552"/>
    <w:rsid w:val="0095395E"/>
    <w:rsid w:val="00970673"/>
    <w:rsid w:val="00971952"/>
    <w:rsid w:val="0097382C"/>
    <w:rsid w:val="00973AF1"/>
    <w:rsid w:val="009748F2"/>
    <w:rsid w:val="009821D1"/>
    <w:rsid w:val="00982F3A"/>
    <w:rsid w:val="00984009"/>
    <w:rsid w:val="00984B55"/>
    <w:rsid w:val="00986C03"/>
    <w:rsid w:val="00990447"/>
    <w:rsid w:val="0099482F"/>
    <w:rsid w:val="009A22F6"/>
    <w:rsid w:val="009A749B"/>
    <w:rsid w:val="009B5F1B"/>
    <w:rsid w:val="009C39D5"/>
    <w:rsid w:val="009C5339"/>
    <w:rsid w:val="009E5CD4"/>
    <w:rsid w:val="009E6AC0"/>
    <w:rsid w:val="009E7D4F"/>
    <w:rsid w:val="009F2A80"/>
    <w:rsid w:val="009F571A"/>
    <w:rsid w:val="00A03EF2"/>
    <w:rsid w:val="00A03FA9"/>
    <w:rsid w:val="00A04E17"/>
    <w:rsid w:val="00A05D1F"/>
    <w:rsid w:val="00A07D87"/>
    <w:rsid w:val="00A117D2"/>
    <w:rsid w:val="00A121FF"/>
    <w:rsid w:val="00A12A8A"/>
    <w:rsid w:val="00A32A9E"/>
    <w:rsid w:val="00A3745A"/>
    <w:rsid w:val="00A37D78"/>
    <w:rsid w:val="00A433AE"/>
    <w:rsid w:val="00A46D0A"/>
    <w:rsid w:val="00A52A4C"/>
    <w:rsid w:val="00A56F17"/>
    <w:rsid w:val="00A6050E"/>
    <w:rsid w:val="00A60D75"/>
    <w:rsid w:val="00A60F8A"/>
    <w:rsid w:val="00A62D87"/>
    <w:rsid w:val="00A646B0"/>
    <w:rsid w:val="00A745E3"/>
    <w:rsid w:val="00A7719C"/>
    <w:rsid w:val="00A77361"/>
    <w:rsid w:val="00A77D78"/>
    <w:rsid w:val="00A81E05"/>
    <w:rsid w:val="00A8747D"/>
    <w:rsid w:val="00A961D1"/>
    <w:rsid w:val="00AB5AB6"/>
    <w:rsid w:val="00AC225E"/>
    <w:rsid w:val="00AC4EE4"/>
    <w:rsid w:val="00AC4FCC"/>
    <w:rsid w:val="00AC65FE"/>
    <w:rsid w:val="00AE5A5B"/>
    <w:rsid w:val="00AF6D39"/>
    <w:rsid w:val="00B038D0"/>
    <w:rsid w:val="00B06509"/>
    <w:rsid w:val="00B0687F"/>
    <w:rsid w:val="00B078F5"/>
    <w:rsid w:val="00B10D3D"/>
    <w:rsid w:val="00B1317C"/>
    <w:rsid w:val="00B14669"/>
    <w:rsid w:val="00B1503A"/>
    <w:rsid w:val="00B15C03"/>
    <w:rsid w:val="00B17797"/>
    <w:rsid w:val="00B17931"/>
    <w:rsid w:val="00B234A9"/>
    <w:rsid w:val="00B31421"/>
    <w:rsid w:val="00B45348"/>
    <w:rsid w:val="00B51F3A"/>
    <w:rsid w:val="00B54EF9"/>
    <w:rsid w:val="00B62976"/>
    <w:rsid w:val="00B64D9E"/>
    <w:rsid w:val="00B709BE"/>
    <w:rsid w:val="00B743BF"/>
    <w:rsid w:val="00B848BB"/>
    <w:rsid w:val="00B92FE6"/>
    <w:rsid w:val="00B95028"/>
    <w:rsid w:val="00B95A74"/>
    <w:rsid w:val="00BA2760"/>
    <w:rsid w:val="00BA4174"/>
    <w:rsid w:val="00BA48E1"/>
    <w:rsid w:val="00BA4D83"/>
    <w:rsid w:val="00BA55F2"/>
    <w:rsid w:val="00BA56C5"/>
    <w:rsid w:val="00BA6EAD"/>
    <w:rsid w:val="00BB6E86"/>
    <w:rsid w:val="00BB76BB"/>
    <w:rsid w:val="00BC23AF"/>
    <w:rsid w:val="00BC64D2"/>
    <w:rsid w:val="00BD14E9"/>
    <w:rsid w:val="00BD45A9"/>
    <w:rsid w:val="00BD4935"/>
    <w:rsid w:val="00BD5CDE"/>
    <w:rsid w:val="00BE3C0D"/>
    <w:rsid w:val="00BE5B87"/>
    <w:rsid w:val="00BF5F0F"/>
    <w:rsid w:val="00BF7573"/>
    <w:rsid w:val="00C011A6"/>
    <w:rsid w:val="00C0374D"/>
    <w:rsid w:val="00C046C6"/>
    <w:rsid w:val="00C15112"/>
    <w:rsid w:val="00C1588E"/>
    <w:rsid w:val="00C23140"/>
    <w:rsid w:val="00C2499B"/>
    <w:rsid w:val="00C253BD"/>
    <w:rsid w:val="00C37982"/>
    <w:rsid w:val="00C4066C"/>
    <w:rsid w:val="00C4425C"/>
    <w:rsid w:val="00C44674"/>
    <w:rsid w:val="00C45F42"/>
    <w:rsid w:val="00C52F31"/>
    <w:rsid w:val="00C538A7"/>
    <w:rsid w:val="00C54DCE"/>
    <w:rsid w:val="00C566D5"/>
    <w:rsid w:val="00C56BEB"/>
    <w:rsid w:val="00C57B06"/>
    <w:rsid w:val="00C610A2"/>
    <w:rsid w:val="00C620E0"/>
    <w:rsid w:val="00C665F7"/>
    <w:rsid w:val="00C66765"/>
    <w:rsid w:val="00C67B72"/>
    <w:rsid w:val="00C70927"/>
    <w:rsid w:val="00C75AD6"/>
    <w:rsid w:val="00C80C9D"/>
    <w:rsid w:val="00C86AC8"/>
    <w:rsid w:val="00C97F61"/>
    <w:rsid w:val="00CA0261"/>
    <w:rsid w:val="00CA0EDB"/>
    <w:rsid w:val="00CA3FC8"/>
    <w:rsid w:val="00CA525A"/>
    <w:rsid w:val="00CA742B"/>
    <w:rsid w:val="00CB1922"/>
    <w:rsid w:val="00CB1ABD"/>
    <w:rsid w:val="00CB48D5"/>
    <w:rsid w:val="00CB7FE1"/>
    <w:rsid w:val="00CC486E"/>
    <w:rsid w:val="00CC6C3D"/>
    <w:rsid w:val="00CD4325"/>
    <w:rsid w:val="00CE23E3"/>
    <w:rsid w:val="00CF0E16"/>
    <w:rsid w:val="00D0536A"/>
    <w:rsid w:val="00D06508"/>
    <w:rsid w:val="00D07502"/>
    <w:rsid w:val="00D10A6F"/>
    <w:rsid w:val="00D10AC8"/>
    <w:rsid w:val="00D22F2D"/>
    <w:rsid w:val="00D320F4"/>
    <w:rsid w:val="00D3500C"/>
    <w:rsid w:val="00D47C4A"/>
    <w:rsid w:val="00D521C4"/>
    <w:rsid w:val="00D55444"/>
    <w:rsid w:val="00D60372"/>
    <w:rsid w:val="00D6425A"/>
    <w:rsid w:val="00D64F28"/>
    <w:rsid w:val="00D660F9"/>
    <w:rsid w:val="00D710F4"/>
    <w:rsid w:val="00D7385F"/>
    <w:rsid w:val="00D76A27"/>
    <w:rsid w:val="00D77314"/>
    <w:rsid w:val="00D84B5E"/>
    <w:rsid w:val="00D853F1"/>
    <w:rsid w:val="00D86A99"/>
    <w:rsid w:val="00D90B24"/>
    <w:rsid w:val="00D93203"/>
    <w:rsid w:val="00D93A5D"/>
    <w:rsid w:val="00D94E2C"/>
    <w:rsid w:val="00D96D28"/>
    <w:rsid w:val="00D97328"/>
    <w:rsid w:val="00DA01A6"/>
    <w:rsid w:val="00DA0B96"/>
    <w:rsid w:val="00DA1E99"/>
    <w:rsid w:val="00DA358A"/>
    <w:rsid w:val="00DA409F"/>
    <w:rsid w:val="00DB46C6"/>
    <w:rsid w:val="00DB7597"/>
    <w:rsid w:val="00DC086C"/>
    <w:rsid w:val="00DC2450"/>
    <w:rsid w:val="00DD3873"/>
    <w:rsid w:val="00DE226F"/>
    <w:rsid w:val="00DE2D7A"/>
    <w:rsid w:val="00DE3828"/>
    <w:rsid w:val="00DE43B7"/>
    <w:rsid w:val="00DE4C31"/>
    <w:rsid w:val="00DF2F30"/>
    <w:rsid w:val="00DF36BB"/>
    <w:rsid w:val="00E022DF"/>
    <w:rsid w:val="00E041E9"/>
    <w:rsid w:val="00E07F17"/>
    <w:rsid w:val="00E128F9"/>
    <w:rsid w:val="00E16DB7"/>
    <w:rsid w:val="00E222F4"/>
    <w:rsid w:val="00E3104C"/>
    <w:rsid w:val="00E3383C"/>
    <w:rsid w:val="00E34E24"/>
    <w:rsid w:val="00E41880"/>
    <w:rsid w:val="00E41B54"/>
    <w:rsid w:val="00E442E3"/>
    <w:rsid w:val="00E4682A"/>
    <w:rsid w:val="00E525A6"/>
    <w:rsid w:val="00E54004"/>
    <w:rsid w:val="00E579A5"/>
    <w:rsid w:val="00E61073"/>
    <w:rsid w:val="00E641B3"/>
    <w:rsid w:val="00E70C57"/>
    <w:rsid w:val="00E73B55"/>
    <w:rsid w:val="00E75444"/>
    <w:rsid w:val="00E76215"/>
    <w:rsid w:val="00E827BF"/>
    <w:rsid w:val="00E83BCC"/>
    <w:rsid w:val="00E852CA"/>
    <w:rsid w:val="00E86A29"/>
    <w:rsid w:val="00E86A58"/>
    <w:rsid w:val="00EA32F5"/>
    <w:rsid w:val="00EA488E"/>
    <w:rsid w:val="00EA79B1"/>
    <w:rsid w:val="00EB0EF9"/>
    <w:rsid w:val="00EB36BF"/>
    <w:rsid w:val="00EB5922"/>
    <w:rsid w:val="00EC0BC4"/>
    <w:rsid w:val="00EC4386"/>
    <w:rsid w:val="00EC7496"/>
    <w:rsid w:val="00EE1018"/>
    <w:rsid w:val="00EE48BD"/>
    <w:rsid w:val="00EE4ACC"/>
    <w:rsid w:val="00EF4DC6"/>
    <w:rsid w:val="00EF6742"/>
    <w:rsid w:val="00EF754B"/>
    <w:rsid w:val="00EF7FED"/>
    <w:rsid w:val="00F006C2"/>
    <w:rsid w:val="00F01CF2"/>
    <w:rsid w:val="00F02596"/>
    <w:rsid w:val="00F07AF5"/>
    <w:rsid w:val="00F07E47"/>
    <w:rsid w:val="00F13A05"/>
    <w:rsid w:val="00F22542"/>
    <w:rsid w:val="00F2303E"/>
    <w:rsid w:val="00F30D93"/>
    <w:rsid w:val="00F36643"/>
    <w:rsid w:val="00F37A49"/>
    <w:rsid w:val="00F37CC3"/>
    <w:rsid w:val="00F40DBF"/>
    <w:rsid w:val="00F4440D"/>
    <w:rsid w:val="00F46B31"/>
    <w:rsid w:val="00F50C61"/>
    <w:rsid w:val="00F5269D"/>
    <w:rsid w:val="00F56A6C"/>
    <w:rsid w:val="00F634A2"/>
    <w:rsid w:val="00F6535F"/>
    <w:rsid w:val="00F671D3"/>
    <w:rsid w:val="00F77F2B"/>
    <w:rsid w:val="00F806BE"/>
    <w:rsid w:val="00F81BB9"/>
    <w:rsid w:val="00F81DF2"/>
    <w:rsid w:val="00F91032"/>
    <w:rsid w:val="00F9258E"/>
    <w:rsid w:val="00FA00EF"/>
    <w:rsid w:val="00FA33D2"/>
    <w:rsid w:val="00FA4527"/>
    <w:rsid w:val="00FA789D"/>
    <w:rsid w:val="00FB029A"/>
    <w:rsid w:val="00FB0EED"/>
    <w:rsid w:val="00FB3C06"/>
    <w:rsid w:val="00FB4F51"/>
    <w:rsid w:val="00FB74FD"/>
    <w:rsid w:val="00FC0AAB"/>
    <w:rsid w:val="00FC128D"/>
    <w:rsid w:val="00FC1591"/>
    <w:rsid w:val="00FD6A5E"/>
    <w:rsid w:val="00FE0FE8"/>
    <w:rsid w:val="00FE4C97"/>
    <w:rsid w:val="00FE6D28"/>
    <w:rsid w:val="00FF06DA"/>
    <w:rsid w:val="00FF1F76"/>
    <w:rsid w:val="00FF3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left="720"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styleId="ListParagraph">
    <w:name w:val="List Paragraph"/>
    <w:basedOn w:val="Normal"/>
    <w:uiPriority w:val="34"/>
    <w:qFormat/>
    <w:rsid w:val="00AB5AB6"/>
    <w:pPr>
      <w:ind w:left="720"/>
      <w:contextualSpacing/>
    </w:pPr>
    <w:rPr>
      <w:rFonts w:ascii="Arial" w:eastAsia="ヒラギノ角ゴ Pro W3" w:hAnsi="Arial"/>
      <w:color w:val="000000"/>
      <w:szCs w:val="24"/>
    </w:rPr>
  </w:style>
  <w:style w:type="paragraph" w:customStyle="1" w:styleId="KQstem">
    <w:name w:val="KQ stem"/>
    <w:basedOn w:val="Normal"/>
    <w:link w:val="KQstemChar"/>
    <w:uiPriority w:val="99"/>
    <w:rsid w:val="00AB5AB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uiPriority w:val="99"/>
    <w:rsid w:val="00AB5AB6"/>
    <w:rPr>
      <w:rFonts w:ascii="Arial" w:eastAsia="Times New Roman" w:hAnsi="Arial"/>
      <w:sz w:val="19"/>
      <w:shd w:val="clear" w:color="auto" w:fill="FFFFFF"/>
    </w:rPr>
  </w:style>
  <w:style w:type="paragraph" w:customStyle="1" w:styleId="shadedheader">
    <w:name w:val="shaded header"/>
    <w:link w:val="shadedheaderChar"/>
    <w:uiPriority w:val="99"/>
    <w:rsid w:val="00AB5AB6"/>
    <w:pPr>
      <w:keepNext/>
      <w:shd w:val="clear" w:color="auto" w:fill="FFE8B4"/>
      <w:spacing w:before="103"/>
    </w:pPr>
    <w:rPr>
      <w:rFonts w:ascii="Arial Bold" w:eastAsia="ヒラギノ角ゴ Pro W3" w:hAnsi="Arial Bold"/>
      <w:color w:val="000000"/>
    </w:rPr>
  </w:style>
  <w:style w:type="character" w:customStyle="1" w:styleId="shadedheaderChar">
    <w:name w:val="shaded header Char"/>
    <w:basedOn w:val="DefaultParagraphFont"/>
    <w:link w:val="shadedheader"/>
    <w:uiPriority w:val="99"/>
    <w:rsid w:val="00AB5AB6"/>
    <w:rPr>
      <w:rFonts w:ascii="Arial Bold" w:eastAsia="ヒラギノ角ゴ Pro W3" w:hAnsi="Arial Bold"/>
      <w:color w:val="000000"/>
      <w:shd w:val="clear" w:color="auto" w:fill="FFE8B4"/>
    </w:rPr>
  </w:style>
  <w:style w:type="paragraph" w:customStyle="1" w:styleId="TitlePageReportNumber">
    <w:name w:val="Title Page Report Number"/>
    <w:basedOn w:val="Normal"/>
    <w:uiPriority w:val="99"/>
    <w:rsid w:val="00AB5AB6"/>
    <w:rPr>
      <w:rFonts w:ascii="Arial" w:eastAsia="Times" w:hAnsi="Arial"/>
      <w:b/>
      <w:sz w:val="28"/>
    </w:rPr>
  </w:style>
  <w:style w:type="character" w:customStyle="1" w:styleId="CommentTextChar">
    <w:name w:val="Comment Text Char"/>
    <w:basedOn w:val="DefaultParagraphFont"/>
    <w:link w:val="CommentText"/>
    <w:uiPriority w:val="99"/>
    <w:rsid w:val="00AB5AB6"/>
  </w:style>
  <w:style w:type="paragraph" w:customStyle="1" w:styleId="BodyText">
    <w:name w:val="BodyText"/>
    <w:basedOn w:val="Normal"/>
    <w:link w:val="BodyTextChar"/>
    <w:rsid w:val="00AB5AB6"/>
    <w:pPr>
      <w:spacing w:after="120"/>
    </w:pPr>
  </w:style>
  <w:style w:type="character" w:customStyle="1" w:styleId="BodyTextChar">
    <w:name w:val="BodyText Char"/>
    <w:basedOn w:val="DefaultParagraphFont"/>
    <w:link w:val="BodyText"/>
    <w:rsid w:val="00AB5AB6"/>
    <w:rPr>
      <w:rFonts w:ascii="Times" w:eastAsia="Times New Roman" w:hAnsi="Times"/>
      <w:sz w:val="24"/>
    </w:rPr>
  </w:style>
  <w:style w:type="paragraph" w:customStyle="1" w:styleId="Default">
    <w:name w:val="Default"/>
    <w:basedOn w:val="Normal"/>
    <w:uiPriority w:val="99"/>
    <w:rsid w:val="00AB5AB6"/>
    <w:pPr>
      <w:autoSpaceDE w:val="0"/>
      <w:autoSpaceDN w:val="0"/>
    </w:pPr>
    <w:rPr>
      <w:rFonts w:ascii="Arial" w:eastAsiaTheme="minorHAnsi" w:hAnsi="Arial" w:cs="Arial"/>
      <w:color w:val="000000"/>
      <w:szCs w:val="24"/>
    </w:rPr>
  </w:style>
  <w:style w:type="table" w:customStyle="1" w:styleId="TableGrid4">
    <w:name w:val="Table Grid4"/>
    <w:basedOn w:val="TableNormal"/>
    <w:next w:val="TableGrid"/>
    <w:uiPriority w:val="59"/>
    <w:locked/>
    <w:rsid w:val="00AB5AB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AB5AB6"/>
    <w:rPr>
      <w:b/>
      <w:bCs/>
    </w:rPr>
  </w:style>
  <w:style w:type="table" w:customStyle="1" w:styleId="TableGrid1">
    <w:name w:val="Table Grid1"/>
    <w:basedOn w:val="TableNormal"/>
    <w:next w:val="TableGrid"/>
    <w:uiPriority w:val="59"/>
    <w:rsid w:val="00AB5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B5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B5A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B5AB6"/>
    <w:pPr>
      <w:ind w:left="288"/>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3500C"/>
    <w:pPr>
      <w:numPr>
        <w:numId w:val="27"/>
      </w:numPr>
      <w:contextualSpacing/>
    </w:pPr>
  </w:style>
  <w:style w:type="character" w:styleId="Emphasis">
    <w:name w:val="Emphasis"/>
    <w:basedOn w:val="DefaultParagraphFont"/>
    <w:uiPriority w:val="20"/>
    <w:qFormat/>
    <w:rsid w:val="00A07D87"/>
    <w:rPr>
      <w:b/>
      <w:bCs/>
      <w:i w:val="0"/>
      <w:iCs w:val="0"/>
    </w:rPr>
  </w:style>
  <w:style w:type="character" w:customStyle="1" w:styleId="st1">
    <w:name w:val="st1"/>
    <w:basedOn w:val="DefaultParagraphFont"/>
    <w:rsid w:val="00A07D87"/>
  </w:style>
  <w:style w:type="paragraph" w:styleId="HTMLPreformatted">
    <w:name w:val="HTML Preformatted"/>
    <w:basedOn w:val="Normal"/>
    <w:link w:val="HTMLPreformattedChar"/>
    <w:uiPriority w:val="99"/>
    <w:unhideWhenUsed/>
    <w:rsid w:val="00E6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641B3"/>
    <w:rPr>
      <w:rFonts w:ascii="Courier New" w:eastAsia="Times New Roman" w:hAnsi="Courier New" w:cs="Courier New"/>
    </w:rPr>
  </w:style>
  <w:style w:type="paragraph" w:styleId="Revision">
    <w:name w:val="Revision"/>
    <w:hidden/>
    <w:uiPriority w:val="99"/>
    <w:semiHidden/>
    <w:rsid w:val="00475CBB"/>
    <w:rPr>
      <w:rFonts w:ascii="Times" w:eastAsia="Times New Roman" w:hAnsi="Times"/>
      <w:sz w:val="24"/>
    </w:rPr>
  </w:style>
  <w:style w:type="numbering" w:customStyle="1" w:styleId="NoList1">
    <w:name w:val="No List1"/>
    <w:next w:val="NoList"/>
    <w:uiPriority w:val="99"/>
    <w:semiHidden/>
    <w:unhideWhenUsed/>
    <w:rsid w:val="00623B25"/>
  </w:style>
  <w:style w:type="table" w:customStyle="1" w:styleId="TableGrid6">
    <w:name w:val="Table Grid6"/>
    <w:basedOn w:val="TableNormal"/>
    <w:next w:val="TableGrid"/>
    <w:uiPriority w:val="59"/>
    <w:rsid w:val="0062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59"/>
    <w:locked/>
    <w:rsid w:val="00623B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62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rsid w:val="0062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59"/>
    <w:rsid w:val="0062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623B25"/>
    <w:pPr>
      <w:ind w:left="28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623B25"/>
    <w:pPr>
      <w:spacing w:before="120"/>
      <w:ind w:firstLine="720"/>
    </w:pPr>
    <w:rPr>
      <w:rFonts w:ascii="Arial" w:eastAsia="ヒラギノ角ゴ Pro W3" w:hAnsi="Arial"/>
      <w:color w:val="000000"/>
      <w:sz w:val="24"/>
    </w:rPr>
  </w:style>
  <w:style w:type="paragraph" w:styleId="PlainText">
    <w:name w:val="Plain Text"/>
    <w:basedOn w:val="Normal"/>
    <w:link w:val="PlainTextChar"/>
    <w:uiPriority w:val="99"/>
    <w:unhideWhenUsed/>
    <w:rsid w:val="00623B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23B25"/>
    <w:rPr>
      <w:rFonts w:eastAsiaTheme="minorHAnsi" w:cstheme="minorBidi"/>
      <w:sz w:val="22"/>
      <w:szCs w:val="21"/>
    </w:rPr>
  </w:style>
  <w:style w:type="character" w:styleId="FollowedHyperlink">
    <w:name w:val="FollowedHyperlink"/>
    <w:basedOn w:val="DefaultParagraphFont"/>
    <w:rsid w:val="00623B25"/>
    <w:rPr>
      <w:color w:val="800080" w:themeColor="followedHyperlink"/>
      <w:u w:val="single"/>
    </w:rPr>
  </w:style>
  <w:style w:type="numbering" w:customStyle="1" w:styleId="NoList2">
    <w:name w:val="No List2"/>
    <w:next w:val="NoList"/>
    <w:uiPriority w:val="99"/>
    <w:semiHidden/>
    <w:unhideWhenUsed/>
    <w:rsid w:val="00623B25"/>
  </w:style>
  <w:style w:type="table" w:customStyle="1" w:styleId="AHRQ11">
    <w:name w:val="AHRQ11"/>
    <w:basedOn w:val="TableGrid"/>
    <w:rsid w:val="00623B2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2">
    <w:name w:val="Table Grid22"/>
    <w:basedOn w:val="TableNormal"/>
    <w:next w:val="TableGrid"/>
    <w:rsid w:val="00623B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23B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23B25"/>
  </w:style>
  <w:style w:type="table" w:customStyle="1" w:styleId="TableGrid32">
    <w:name w:val="Table Grid32"/>
    <w:basedOn w:val="TableNormal"/>
    <w:next w:val="TableGrid"/>
    <w:uiPriority w:val="59"/>
    <w:rsid w:val="00623B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623B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623B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623B25"/>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left="720"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styleId="ListParagraph">
    <w:name w:val="List Paragraph"/>
    <w:basedOn w:val="Normal"/>
    <w:uiPriority w:val="34"/>
    <w:qFormat/>
    <w:rsid w:val="00AB5AB6"/>
    <w:pPr>
      <w:ind w:left="720"/>
      <w:contextualSpacing/>
    </w:pPr>
    <w:rPr>
      <w:rFonts w:ascii="Arial" w:eastAsia="ヒラギノ角ゴ Pro W3" w:hAnsi="Arial"/>
      <w:color w:val="000000"/>
      <w:szCs w:val="24"/>
    </w:rPr>
  </w:style>
  <w:style w:type="paragraph" w:customStyle="1" w:styleId="KQstem">
    <w:name w:val="KQ stem"/>
    <w:basedOn w:val="Normal"/>
    <w:link w:val="KQstemChar"/>
    <w:uiPriority w:val="99"/>
    <w:rsid w:val="00AB5AB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uiPriority w:val="99"/>
    <w:rsid w:val="00AB5AB6"/>
    <w:rPr>
      <w:rFonts w:ascii="Arial" w:eastAsia="Times New Roman" w:hAnsi="Arial"/>
      <w:sz w:val="19"/>
      <w:shd w:val="clear" w:color="auto" w:fill="FFFFFF"/>
    </w:rPr>
  </w:style>
  <w:style w:type="paragraph" w:customStyle="1" w:styleId="shadedheader">
    <w:name w:val="shaded header"/>
    <w:link w:val="shadedheaderChar"/>
    <w:uiPriority w:val="99"/>
    <w:rsid w:val="00AB5AB6"/>
    <w:pPr>
      <w:keepNext/>
      <w:shd w:val="clear" w:color="auto" w:fill="FFE8B4"/>
      <w:spacing w:before="103"/>
    </w:pPr>
    <w:rPr>
      <w:rFonts w:ascii="Arial Bold" w:eastAsia="ヒラギノ角ゴ Pro W3" w:hAnsi="Arial Bold"/>
      <w:color w:val="000000"/>
    </w:rPr>
  </w:style>
  <w:style w:type="character" w:customStyle="1" w:styleId="shadedheaderChar">
    <w:name w:val="shaded header Char"/>
    <w:basedOn w:val="DefaultParagraphFont"/>
    <w:link w:val="shadedheader"/>
    <w:uiPriority w:val="99"/>
    <w:rsid w:val="00AB5AB6"/>
    <w:rPr>
      <w:rFonts w:ascii="Arial Bold" w:eastAsia="ヒラギノ角ゴ Pro W3" w:hAnsi="Arial Bold"/>
      <w:color w:val="000000"/>
      <w:shd w:val="clear" w:color="auto" w:fill="FFE8B4"/>
    </w:rPr>
  </w:style>
  <w:style w:type="paragraph" w:customStyle="1" w:styleId="TitlePageReportNumber">
    <w:name w:val="Title Page Report Number"/>
    <w:basedOn w:val="Normal"/>
    <w:uiPriority w:val="99"/>
    <w:rsid w:val="00AB5AB6"/>
    <w:rPr>
      <w:rFonts w:ascii="Arial" w:eastAsia="Times" w:hAnsi="Arial"/>
      <w:b/>
      <w:sz w:val="28"/>
    </w:rPr>
  </w:style>
  <w:style w:type="character" w:customStyle="1" w:styleId="CommentTextChar">
    <w:name w:val="Comment Text Char"/>
    <w:basedOn w:val="DefaultParagraphFont"/>
    <w:link w:val="CommentText"/>
    <w:uiPriority w:val="99"/>
    <w:rsid w:val="00AB5AB6"/>
  </w:style>
  <w:style w:type="paragraph" w:customStyle="1" w:styleId="BodyText">
    <w:name w:val="BodyText"/>
    <w:basedOn w:val="Normal"/>
    <w:link w:val="BodyTextChar"/>
    <w:rsid w:val="00AB5AB6"/>
    <w:pPr>
      <w:spacing w:after="120"/>
    </w:pPr>
  </w:style>
  <w:style w:type="character" w:customStyle="1" w:styleId="BodyTextChar">
    <w:name w:val="BodyText Char"/>
    <w:basedOn w:val="DefaultParagraphFont"/>
    <w:link w:val="BodyText"/>
    <w:rsid w:val="00AB5AB6"/>
    <w:rPr>
      <w:rFonts w:ascii="Times" w:eastAsia="Times New Roman" w:hAnsi="Times"/>
      <w:sz w:val="24"/>
    </w:rPr>
  </w:style>
  <w:style w:type="paragraph" w:customStyle="1" w:styleId="Default">
    <w:name w:val="Default"/>
    <w:basedOn w:val="Normal"/>
    <w:uiPriority w:val="99"/>
    <w:rsid w:val="00AB5AB6"/>
    <w:pPr>
      <w:autoSpaceDE w:val="0"/>
      <w:autoSpaceDN w:val="0"/>
    </w:pPr>
    <w:rPr>
      <w:rFonts w:ascii="Arial" w:eastAsiaTheme="minorHAnsi" w:hAnsi="Arial" w:cs="Arial"/>
      <w:color w:val="000000"/>
      <w:szCs w:val="24"/>
    </w:rPr>
  </w:style>
  <w:style w:type="table" w:customStyle="1" w:styleId="TableGrid4">
    <w:name w:val="Table Grid4"/>
    <w:basedOn w:val="TableNormal"/>
    <w:next w:val="TableGrid"/>
    <w:uiPriority w:val="59"/>
    <w:locked/>
    <w:rsid w:val="00AB5AB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AB5AB6"/>
    <w:rPr>
      <w:b/>
      <w:bCs/>
    </w:rPr>
  </w:style>
  <w:style w:type="table" w:customStyle="1" w:styleId="TableGrid1">
    <w:name w:val="Table Grid1"/>
    <w:basedOn w:val="TableNormal"/>
    <w:next w:val="TableGrid"/>
    <w:uiPriority w:val="59"/>
    <w:rsid w:val="00AB5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B5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B5A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B5AB6"/>
    <w:pPr>
      <w:ind w:left="288"/>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3500C"/>
    <w:pPr>
      <w:numPr>
        <w:numId w:val="27"/>
      </w:numPr>
      <w:contextualSpacing/>
    </w:pPr>
  </w:style>
  <w:style w:type="character" w:styleId="Emphasis">
    <w:name w:val="Emphasis"/>
    <w:basedOn w:val="DefaultParagraphFont"/>
    <w:uiPriority w:val="20"/>
    <w:qFormat/>
    <w:rsid w:val="00A07D87"/>
    <w:rPr>
      <w:b/>
      <w:bCs/>
      <w:i w:val="0"/>
      <w:iCs w:val="0"/>
    </w:rPr>
  </w:style>
  <w:style w:type="character" w:customStyle="1" w:styleId="st1">
    <w:name w:val="st1"/>
    <w:basedOn w:val="DefaultParagraphFont"/>
    <w:rsid w:val="00A07D87"/>
  </w:style>
  <w:style w:type="paragraph" w:styleId="HTMLPreformatted">
    <w:name w:val="HTML Preformatted"/>
    <w:basedOn w:val="Normal"/>
    <w:link w:val="HTMLPreformattedChar"/>
    <w:uiPriority w:val="99"/>
    <w:unhideWhenUsed/>
    <w:rsid w:val="00E6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641B3"/>
    <w:rPr>
      <w:rFonts w:ascii="Courier New" w:eastAsia="Times New Roman" w:hAnsi="Courier New" w:cs="Courier New"/>
    </w:rPr>
  </w:style>
  <w:style w:type="paragraph" w:styleId="Revision">
    <w:name w:val="Revision"/>
    <w:hidden/>
    <w:uiPriority w:val="99"/>
    <w:semiHidden/>
    <w:rsid w:val="00475CBB"/>
    <w:rPr>
      <w:rFonts w:ascii="Times" w:eastAsia="Times New Roman" w:hAnsi="Times"/>
      <w:sz w:val="24"/>
    </w:rPr>
  </w:style>
  <w:style w:type="numbering" w:customStyle="1" w:styleId="NoList1">
    <w:name w:val="No List1"/>
    <w:next w:val="NoList"/>
    <w:uiPriority w:val="99"/>
    <w:semiHidden/>
    <w:unhideWhenUsed/>
    <w:rsid w:val="00623B25"/>
  </w:style>
  <w:style w:type="table" w:customStyle="1" w:styleId="TableGrid6">
    <w:name w:val="Table Grid6"/>
    <w:basedOn w:val="TableNormal"/>
    <w:next w:val="TableGrid"/>
    <w:uiPriority w:val="59"/>
    <w:rsid w:val="00623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uiPriority w:val="59"/>
    <w:locked/>
    <w:rsid w:val="00623B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62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rsid w:val="0062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59"/>
    <w:rsid w:val="0062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623B25"/>
    <w:pPr>
      <w:ind w:left="28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rsid w:val="00623B25"/>
    <w:pPr>
      <w:spacing w:before="120"/>
      <w:ind w:firstLine="720"/>
    </w:pPr>
    <w:rPr>
      <w:rFonts w:ascii="Arial" w:eastAsia="ヒラギノ角ゴ Pro W3" w:hAnsi="Arial"/>
      <w:color w:val="000000"/>
      <w:sz w:val="24"/>
    </w:rPr>
  </w:style>
  <w:style w:type="paragraph" w:styleId="PlainText">
    <w:name w:val="Plain Text"/>
    <w:basedOn w:val="Normal"/>
    <w:link w:val="PlainTextChar"/>
    <w:uiPriority w:val="99"/>
    <w:unhideWhenUsed/>
    <w:rsid w:val="00623B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23B25"/>
    <w:rPr>
      <w:rFonts w:eastAsiaTheme="minorHAnsi" w:cstheme="minorBidi"/>
      <w:sz w:val="22"/>
      <w:szCs w:val="21"/>
    </w:rPr>
  </w:style>
  <w:style w:type="character" w:styleId="FollowedHyperlink">
    <w:name w:val="FollowedHyperlink"/>
    <w:basedOn w:val="DefaultParagraphFont"/>
    <w:rsid w:val="00623B25"/>
    <w:rPr>
      <w:color w:val="800080" w:themeColor="followedHyperlink"/>
      <w:u w:val="single"/>
    </w:rPr>
  </w:style>
  <w:style w:type="numbering" w:customStyle="1" w:styleId="NoList2">
    <w:name w:val="No List2"/>
    <w:next w:val="NoList"/>
    <w:uiPriority w:val="99"/>
    <w:semiHidden/>
    <w:unhideWhenUsed/>
    <w:rsid w:val="00623B25"/>
  </w:style>
  <w:style w:type="table" w:customStyle="1" w:styleId="AHRQ11">
    <w:name w:val="AHRQ11"/>
    <w:basedOn w:val="TableGrid"/>
    <w:rsid w:val="00623B2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2">
    <w:name w:val="Table Grid22"/>
    <w:basedOn w:val="TableNormal"/>
    <w:next w:val="TableGrid"/>
    <w:rsid w:val="00623B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23B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23B25"/>
  </w:style>
  <w:style w:type="table" w:customStyle="1" w:styleId="TableGrid32">
    <w:name w:val="Table Grid32"/>
    <w:basedOn w:val="TableNormal"/>
    <w:next w:val="TableGrid"/>
    <w:uiPriority w:val="59"/>
    <w:rsid w:val="00623B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23B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23B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23B25"/>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802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2EDE-1459-4E3A-BC7F-40782A2A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5542</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tec0015</cp:lastModifiedBy>
  <cp:revision>9</cp:revision>
  <cp:lastPrinted>2015-01-21T16:34:00Z</cp:lastPrinted>
  <dcterms:created xsi:type="dcterms:W3CDTF">2015-01-21T21:42:00Z</dcterms:created>
  <dcterms:modified xsi:type="dcterms:W3CDTF">2015-02-12T07:47:00Z</dcterms:modified>
</cp:coreProperties>
</file>