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699FF" w14:textId="28DB2115" w:rsidR="00ED77DB" w:rsidRPr="00E26A41" w:rsidRDefault="00ED77DB" w:rsidP="00BB520C">
      <w:pPr>
        <w:pStyle w:val="TableTitle"/>
        <w:pageBreakBefore/>
        <w:tabs>
          <w:tab w:val="left" w:pos="1170"/>
        </w:tabs>
      </w:pPr>
      <w:bookmarkStart w:id="0" w:name="_Ref396916989"/>
      <w:bookmarkStart w:id="1" w:name="_Ref367095091"/>
      <w:bookmarkStart w:id="2" w:name="_Toc351472040"/>
      <w:bookmarkStart w:id="3" w:name="_Toc351472069"/>
      <w:bookmarkStart w:id="4" w:name="_Toc356915475"/>
      <w:bookmarkStart w:id="5" w:name="_Toc357590871"/>
      <w:bookmarkStart w:id="6" w:name="_Toc357781363"/>
      <w:bookmarkStart w:id="7" w:name="_Toc357784988"/>
      <w:bookmarkStart w:id="8" w:name="_Toc360016797"/>
      <w:bookmarkStart w:id="9" w:name="_Toc360038455"/>
      <w:bookmarkStart w:id="10" w:name="_GoBack"/>
      <w:bookmarkEnd w:id="10"/>
      <w:proofErr w:type="gramStart"/>
      <w:r>
        <w:t>Table F-</w:t>
      </w:r>
      <w:r>
        <w:rPr>
          <w:noProof/>
        </w:rPr>
        <w:t>11</w:t>
      </w:r>
      <w:bookmarkEnd w:id="0"/>
      <w:r>
        <w:t>.</w:t>
      </w:r>
      <w:proofErr w:type="gramEnd"/>
      <w:r w:rsidR="00027AE5">
        <w:t xml:space="preserve"> </w:t>
      </w:r>
      <w:bookmarkEnd w:id="1"/>
      <w:r w:rsidRPr="00E26A41">
        <w:t>Progression</w:t>
      </w:r>
      <w:bookmarkEnd w:id="2"/>
      <w:bookmarkEnd w:id="3"/>
      <w:r w:rsidRPr="00E26A41">
        <w:t xml:space="preserve"> to metastasis (randomized controlled trials)</w:t>
      </w:r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2438"/>
        <w:gridCol w:w="2435"/>
        <w:gridCol w:w="3296"/>
      </w:tblGrid>
      <w:tr w:rsidR="00ED77DB" w:rsidRPr="00541897" w14:paraId="00E241B7" w14:textId="77777777" w:rsidTr="00D571A0">
        <w:trPr>
          <w:cantSplit/>
          <w:trHeight w:val="20"/>
          <w:tblHeader/>
        </w:trPr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72EBF8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775DF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95D7D9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2A8CD8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Analyses; p-Values</w:t>
            </w:r>
          </w:p>
        </w:tc>
      </w:tr>
      <w:tr w:rsidR="00ED77DB" w:rsidRPr="00541897" w14:paraId="31E610B5" w14:textId="77777777" w:rsidTr="00D571A0">
        <w:trPr>
          <w:cantSplit/>
          <w:trHeight w:val="20"/>
        </w:trPr>
        <w:tc>
          <w:tcPr>
            <w:tcW w:w="4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FB265" w14:textId="77777777" w:rsidR="00ED77DB" w:rsidRPr="00901D4C" w:rsidRDefault="00ED77DB" w:rsidP="00D571A0">
            <w:pPr>
              <w:pStyle w:val="TableLeftText"/>
              <w:spacing w:before="40" w:after="20"/>
            </w:pPr>
            <w:r w:rsidRPr="00901D4C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266B86E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Prostate Intervention Versus Observation Trial (PIVOT)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38328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364 patients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B4CF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Observation: 367 patients</w:t>
            </w:r>
          </w:p>
        </w:tc>
        <w:tc>
          <w:tcPr>
            <w:tcW w:w="3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38C9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04C2AB8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AB52" w14:textId="77777777" w:rsidR="00ED77DB" w:rsidRPr="00901D4C" w:rsidRDefault="00ED77DB" w:rsidP="00D571A0">
            <w:pPr>
              <w:pStyle w:val="TableLeftText"/>
              <w:spacing w:before="40" w:after="20"/>
            </w:pPr>
            <w:r w:rsidRPr="00901D4C">
              <w:t xml:space="preserve">Number of </w:t>
            </w:r>
            <w:r>
              <w:t xml:space="preserve">patients </w:t>
            </w:r>
            <w:r w:rsidRPr="00901D4C">
              <w:t xml:space="preserve">with bone metastases (%) at median </w:t>
            </w:r>
            <w:proofErr w:type="spellStart"/>
            <w:r w:rsidRPr="00901D4C">
              <w:t>followup</w:t>
            </w:r>
            <w:proofErr w:type="spellEnd"/>
            <w:r w:rsidRPr="00901D4C">
              <w:t xml:space="preserve"> 10 years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522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17 (4.7)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F16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39 (10.0)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59A8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HR, 0.40; 95% CI, 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br/>
              <w:t>0.22–0.70; p&lt;0.00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D77DB" w:rsidRPr="00541897" w14:paraId="38CF91B7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FA085" w14:textId="77777777" w:rsidR="00ED77DB" w:rsidRPr="00901D4C" w:rsidRDefault="00ED77DB" w:rsidP="00D571A0">
            <w:pPr>
              <w:pStyle w:val="TableLeftText"/>
              <w:spacing w:before="40" w:after="20"/>
            </w:pPr>
            <w:r w:rsidRPr="00901D4C">
              <w:t>Bill-</w:t>
            </w:r>
            <w:proofErr w:type="spellStart"/>
            <w:r w:rsidRPr="00901D4C">
              <w:t>Axelson</w:t>
            </w:r>
            <w:proofErr w:type="spellEnd"/>
            <w:r w:rsidRPr="00901D4C">
              <w:t xml:space="preserve"> et al. 2011</w:t>
            </w:r>
            <w:r w:rsidRPr="001907E4">
              <w:rPr>
                <w:vertAlign w:val="superscript"/>
              </w:rPr>
              <w:t>33</w:t>
            </w:r>
          </w:p>
          <w:p w14:paraId="738DF9B0" w14:textId="77777777" w:rsidR="00ED77DB" w:rsidRPr="00901D4C" w:rsidRDefault="00ED77DB" w:rsidP="00D571A0">
            <w:pPr>
              <w:pStyle w:val="TableLeftText"/>
              <w:spacing w:before="40" w:after="20"/>
            </w:pPr>
            <w:r w:rsidRPr="00901D4C">
              <w:t>Same study as Holmberg et al. 2012</w:t>
            </w:r>
            <w:r w:rsidRPr="001907E4">
              <w:rPr>
                <w:vertAlign w:val="superscript"/>
              </w:rPr>
              <w:t>34</w:t>
            </w:r>
            <w:r w:rsidRPr="00901D4C">
              <w:t xml:space="preserve">, and </w:t>
            </w:r>
            <w:r>
              <w:br/>
            </w:r>
            <w:r w:rsidRPr="00901D4C">
              <w:t>Bill</w:t>
            </w:r>
            <w:r>
              <w:noBreakHyphen/>
            </w:r>
            <w:proofErr w:type="spellStart"/>
            <w:r w:rsidRPr="00901D4C">
              <w:t>Axelson</w:t>
            </w:r>
            <w:proofErr w:type="spellEnd"/>
            <w:r w:rsidRPr="00901D4C">
              <w:t xml:space="preserve"> et al. 2008</w:t>
            </w:r>
            <w:r w:rsidRPr="001907E4">
              <w:rPr>
                <w:vertAlign w:val="superscript"/>
              </w:rPr>
              <w:t>15</w:t>
            </w:r>
          </w:p>
          <w:p w14:paraId="28B0BA0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Scandinavian Prostate Cancer Group-4 (SPCG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noBreakHyphen/>
              <w:t>4) Trial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D06A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RP: 347 patients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49D9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Watchful waiting: 348 patients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E85C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62068E5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F293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Total number of distant metastases, cumulative incidence (number (%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12 years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A3C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67 (19.3)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FF59" w14:textId="77777777" w:rsidR="00ED77DB" w:rsidRPr="00F54AF3" w:rsidRDefault="00ED77DB" w:rsidP="00D571A0">
            <w:pPr>
              <w:spacing w:before="40" w:after="20"/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96 (27.6)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EA4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839DA06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1C9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ages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3C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11.5 (8.6–15.4)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D77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18.7 (15-23.3)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1B4B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ARR, 95% CI: 7.2 (1.8–12.5)</w:t>
            </w:r>
          </w:p>
        </w:tc>
      </w:tr>
      <w:tr w:rsidR="00ED77DB" w:rsidRPr="00541897" w14:paraId="60D7F676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E07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ages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D9C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19.3 (15.3–24.2)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796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26 (21.6–31.2)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8E3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6.7 (0.2–13.2)</w:t>
            </w:r>
          </w:p>
          <w:p w14:paraId="10920B7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0.65 (0.47–0.88)</w:t>
            </w:r>
          </w:p>
          <w:p w14:paraId="4DCD879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p=0.006</w:t>
            </w:r>
          </w:p>
        </w:tc>
      </w:tr>
      <w:tr w:rsidR="00ED77DB" w:rsidRPr="00541897" w14:paraId="7D3CDFFA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ECB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751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10.8 (6.9–17)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693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22.9 (17.3–30.3)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55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12.1 (4.0–20.1)</w:t>
            </w:r>
          </w:p>
        </w:tc>
      </w:tr>
      <w:tr w:rsidR="00ED77DB" w:rsidRPr="00541897" w14:paraId="0A95D725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7B6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378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20.7 (15–28.6)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E08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30.3 (23.8–38.5)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4E6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9.6 (-0.3–19.5)</w:t>
            </w:r>
          </w:p>
          <w:p w14:paraId="098F100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0.52 (0.34–0.81)</w:t>
            </w:r>
          </w:p>
          <w:p w14:paraId="5066960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p=0.006</w:t>
            </w:r>
          </w:p>
        </w:tc>
      </w:tr>
      <w:tr w:rsidR="00ED77DB" w:rsidRPr="00541897" w14:paraId="1FF04098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690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03E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12.1 (8.2–17.8)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334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14.8 (10.5–21)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DE2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2.7 (-4.2–9.7)</w:t>
            </w:r>
          </w:p>
        </w:tc>
      </w:tr>
      <w:tr w:rsidR="00ED77DB" w:rsidRPr="00541897" w14:paraId="53B7CD2D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CED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D8B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17.9 (13–24.6)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D138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 (16.5–29.3)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379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4.1 (16.5–29.3)</w:t>
            </w:r>
          </w:p>
          <w:p w14:paraId="6556A64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0.80 (0.51–1.27)</w:t>
            </w:r>
          </w:p>
          <w:p w14:paraId="4835D1A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p=0.28</w:t>
            </w:r>
          </w:p>
        </w:tc>
      </w:tr>
      <w:tr w:rsidR="00ED77DB" w:rsidRPr="00541897" w14:paraId="482D976C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2052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Total number of distant metastases (number (%)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D5F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 (23.3)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097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 (35.3)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5A7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A2894D7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E98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All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552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21.7 (17.6–26.7)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D8D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33.4 (28.6 to 39.0)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66C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11.7 (4.8–18.6)</w:t>
            </w:r>
          </w:p>
          <w:p w14:paraId="3885912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0.59 (0.45–0.79)</w:t>
            </w:r>
          </w:p>
          <w:p w14:paraId="771E22C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p&lt;0.001</w:t>
            </w:r>
          </w:p>
        </w:tc>
      </w:tr>
      <w:tr w:rsidR="00ED77DB" w:rsidRPr="00541897" w14:paraId="11B1989F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BA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ECC2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9.9 (5.8 - 17.1)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A19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21.4 (15.4 to 29.6)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48B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11.4 (2.6–20.2)</w:t>
            </w:r>
          </w:p>
          <w:p w14:paraId="2D99475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0.43 (0.23–0.79)</w:t>
            </w:r>
          </w:p>
          <w:p w14:paraId="6C519AE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p=0.008</w:t>
            </w:r>
          </w:p>
        </w:tc>
      </w:tr>
      <w:tr w:rsidR="00ED77DB" w:rsidRPr="00541897" w14:paraId="51A3A387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E7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&lt;65 years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9A2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21.5 (15.9–29.2)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99D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39.8 (32.6 to 48.5)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7DC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18.3 (8.0–28.5)</w:t>
            </w:r>
          </w:p>
          <w:p w14:paraId="147190D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0.47 (0.32–0.70)</w:t>
            </w:r>
          </w:p>
          <w:p w14:paraId="63CD2F7C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p=0.001</w:t>
            </w:r>
          </w:p>
        </w:tc>
      </w:tr>
      <w:tr w:rsidR="00ED77DB" w:rsidRPr="00541897" w14:paraId="746D2C7F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591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Age &lt;65 years and 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D80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9.5 (4.4–20.4)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C81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20.6 (12.8 to 33.0)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AB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11.1 (-1.0–23.2)</w:t>
            </w:r>
          </w:p>
          <w:p w14:paraId="6BC3412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0.41 (0.18–0.95)</w:t>
            </w:r>
          </w:p>
          <w:p w14:paraId="3CA72CC4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p=0.06</w:t>
            </w:r>
          </w:p>
        </w:tc>
      </w:tr>
      <w:tr w:rsidR="00ED77DB" w:rsidRPr="00541897" w14:paraId="75C8EB25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076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29FA" w14:textId="77777777" w:rsidR="00ED77DB" w:rsidRPr="00D2558B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22.1 (16.6–29.4)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25B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27.5 (21.5 to 35.1)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219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5.4 (-3.9–14.6)</w:t>
            </w:r>
          </w:p>
          <w:p w14:paraId="745A58D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0.77 (0.51–1.15)</w:t>
            </w:r>
          </w:p>
          <w:p w14:paraId="490F94B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p=0.14</w:t>
            </w:r>
          </w:p>
        </w:tc>
      </w:tr>
      <w:tr w:rsidR="00ED77DB" w:rsidRPr="00541897" w14:paraId="5F24541F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34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Age ≥65 years and low risk cancer at 15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years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follow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1EB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10.5 (4.8–23.0)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2AD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21.8 (13.9 to 34.3)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02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ARR: 11.3 (-1.6–24.1)</w:t>
            </w:r>
          </w:p>
          <w:p w14:paraId="3B9E01D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RR: 0.46 (0.19–1.11)</w:t>
            </w:r>
          </w:p>
          <w:p w14:paraId="37B96A0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p=0.06</w:t>
            </w:r>
          </w:p>
        </w:tc>
      </w:tr>
      <w:tr w:rsidR="00ED77DB" w:rsidRPr="00541897" w14:paraId="0773F3B0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C061A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Jones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2C8F2" w14:textId="77777777" w:rsidR="00ED77DB" w:rsidRPr="00541897" w:rsidRDefault="00ED77DB" w:rsidP="008853B5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EBRT: 992 patients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3B9EB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EBRT plus ADT: 987 patients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02338" w14:textId="77777777" w:rsidR="00ED77DB" w:rsidRPr="00541897" w:rsidRDefault="00ED77DB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HR (95% CI)</w:t>
            </w:r>
          </w:p>
        </w:tc>
      </w:tr>
      <w:tr w:rsidR="00ED77DB" w:rsidRPr="00541897" w14:paraId="58B93B63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605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Distant metastases at 10 years (% reaching end point)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7BF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97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8FA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19D39261" w14:textId="77777777" w:rsidTr="00D571A0">
        <w:trPr>
          <w:cantSplit/>
          <w:trHeight w:val="2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2826BF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All patients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6348C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ECAB0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69FB1E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1.45 (1.03–2.06), p=0.04</w:t>
            </w:r>
          </w:p>
        </w:tc>
      </w:tr>
    </w:tbl>
    <w:p w14:paraId="64A35CF7" w14:textId="1DDBCDF9" w:rsidR="00ED77DB" w:rsidRPr="008853B5" w:rsidRDefault="00027AE5" w:rsidP="007B1ED2">
      <w:pPr>
        <w:rPr>
          <w:sz w:val="18"/>
          <w:szCs w:val="18"/>
        </w:rPr>
      </w:pPr>
      <w:r w:rsidRPr="00027AE5">
        <w:rPr>
          <w:b/>
          <w:sz w:val="18"/>
          <w:szCs w:val="18"/>
        </w:rPr>
        <w:t>Abbreviations:</w:t>
      </w:r>
      <w:r>
        <w:rPr>
          <w:sz w:val="18"/>
          <w:szCs w:val="18"/>
        </w:rPr>
        <w:t xml:space="preserve"> </w:t>
      </w:r>
      <w:r w:rsidR="00ED77DB" w:rsidRPr="008853B5">
        <w:rPr>
          <w:sz w:val="18"/>
          <w:szCs w:val="18"/>
        </w:rPr>
        <w:t>ADT=androgen-deprivation therapy; ARR=</w:t>
      </w:r>
      <w:r w:rsidR="00ED77DB" w:rsidRPr="00147FBB">
        <w:rPr>
          <w:sz w:val="18"/>
          <w:szCs w:val="18"/>
        </w:rPr>
        <w:t xml:space="preserve">absolute </w:t>
      </w:r>
      <w:r w:rsidR="00ED77DB" w:rsidRPr="008853B5">
        <w:rPr>
          <w:sz w:val="18"/>
          <w:szCs w:val="18"/>
        </w:rPr>
        <w:t xml:space="preserve">risk reduction; </w:t>
      </w:r>
      <w:r w:rsidR="00ED77DB" w:rsidRPr="008853B5">
        <w:rPr>
          <w:rFonts w:eastAsia="ヒラギノ角ゴ Pro W3"/>
          <w:sz w:val="18"/>
          <w:szCs w:val="18"/>
        </w:rPr>
        <w:t>CI=confidence interval;</w:t>
      </w:r>
      <w:r w:rsidR="00ED77DB" w:rsidRPr="00F60CE2">
        <w:rPr>
          <w:rFonts w:eastAsia="ヒラギノ角ゴ Pro W3"/>
          <w:sz w:val="18"/>
          <w:szCs w:val="18"/>
        </w:rPr>
        <w:t xml:space="preserve"> EBRT=external beam radiation therapy;</w:t>
      </w:r>
      <w:r w:rsidR="00ED77DB" w:rsidRPr="00F60CE2">
        <w:rPr>
          <w:sz w:val="18"/>
          <w:szCs w:val="18"/>
        </w:rPr>
        <w:t xml:space="preserve"> HR=hazard ratio; RP=radical prostatectomy RR=relative risk</w:t>
      </w:r>
      <w:r w:rsidR="00ED77DB" w:rsidRPr="008853B5">
        <w:rPr>
          <w:sz w:val="18"/>
          <w:szCs w:val="18"/>
        </w:rPr>
        <w:t>.</w:t>
      </w:r>
    </w:p>
    <w:p w14:paraId="6A3265BE" w14:textId="77777777" w:rsidR="00ED77DB" w:rsidRDefault="00ED77DB" w:rsidP="00BB520C">
      <w:pPr>
        <w:pStyle w:val="TableNote"/>
      </w:pPr>
    </w:p>
    <w:sectPr w:rsidR="00ED77DB" w:rsidSect="004C4461">
      <w:footerReference w:type="default" r:id="rId12"/>
      <w:pgSz w:w="15840" w:h="12240" w:orient="landscape" w:code="1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A82DC" w14:textId="77777777" w:rsidR="00DE5F2F" w:rsidRDefault="00DE5F2F" w:rsidP="00343787">
      <w:r>
        <w:separator/>
      </w:r>
    </w:p>
  </w:endnote>
  <w:endnote w:type="continuationSeparator" w:id="0">
    <w:p w14:paraId="4B4DBFE2" w14:textId="77777777" w:rsidR="00DE5F2F" w:rsidRDefault="00DE5F2F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245BB" w14:textId="77777777" w:rsidR="004C4461" w:rsidRPr="009245C1" w:rsidRDefault="004C4461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5C6FB" w14:textId="77777777" w:rsidR="00DE5F2F" w:rsidRDefault="00DE5F2F" w:rsidP="00343787">
      <w:r>
        <w:separator/>
      </w:r>
    </w:p>
  </w:footnote>
  <w:footnote w:type="continuationSeparator" w:id="0">
    <w:p w14:paraId="7AB9BFED" w14:textId="77777777" w:rsidR="00DE5F2F" w:rsidRDefault="00DE5F2F" w:rsidP="0034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461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5F2F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19043-99A5-44D2-9B35-95E3B32A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2552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2015-01-09T11:34:00Z</dcterms:modified>
</cp:coreProperties>
</file>