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91" w:rsidRPr="00AC00D7" w:rsidRDefault="00AD7791" w:rsidP="00AD7791">
      <w:pPr>
        <w:pStyle w:val="TableTitle"/>
        <w:pageBreakBefore/>
        <w:tabs>
          <w:tab w:val="left" w:pos="360"/>
        </w:tabs>
        <w:spacing w:after="20"/>
        <w:ind w:left="-810"/>
      </w:pPr>
      <w:bookmarkStart w:id="0" w:name="_Ref363112241"/>
      <w:bookmarkStart w:id="1" w:name="_Toc363826612"/>
      <w:bookmarkStart w:id="2" w:name="_Toc365038610"/>
      <w:r>
        <w:t>Table C-</w:t>
      </w:r>
      <w:r>
        <w:rPr>
          <w:noProof/>
        </w:rPr>
        <w:t>68</w:t>
      </w:r>
      <w:bookmarkEnd w:id="0"/>
      <w:r>
        <w:t>.</w:t>
      </w:r>
      <w:r>
        <w:tab/>
        <w:t>CT-related adverse events</w:t>
      </w:r>
      <w:bookmarkEnd w:id="1"/>
      <w:bookmarkEnd w:id="2"/>
    </w:p>
    <w:tbl>
      <w:tblPr>
        <w:tblW w:w="14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8"/>
        <w:gridCol w:w="1350"/>
        <w:gridCol w:w="1151"/>
        <w:gridCol w:w="1684"/>
        <w:gridCol w:w="1260"/>
        <w:gridCol w:w="1080"/>
        <w:gridCol w:w="1350"/>
        <w:gridCol w:w="2520"/>
        <w:gridCol w:w="2520"/>
      </w:tblGrid>
      <w:tr w:rsidR="00AD7791" w:rsidRPr="00B85698" w:rsidTr="00AD7791">
        <w:trPr>
          <w:cantSplit/>
          <w:trHeight w:val="20"/>
          <w:tblHeader/>
          <w:jc w:val="center"/>
        </w:trPr>
        <w:tc>
          <w:tcPr>
            <w:tcW w:w="170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0CECE"/>
          </w:tcPr>
          <w:p w:rsidR="00AD7791" w:rsidRPr="00B85698" w:rsidRDefault="00AD7791" w:rsidP="00AD7791">
            <w:pPr>
              <w:pStyle w:val="TableText"/>
              <w:spacing w:before="28" w:after="14"/>
              <w:rPr>
                <w:b/>
              </w:rPr>
            </w:pPr>
            <w:r w:rsidRPr="00B85698">
              <w:rPr>
                <w:b/>
              </w:rPr>
              <w:t>Study</w:t>
            </w:r>
          </w:p>
        </w:tc>
        <w:tc>
          <w:tcPr>
            <w:tcW w:w="13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0CECE"/>
          </w:tcPr>
          <w:p w:rsidR="00AD7791" w:rsidRPr="00B85698" w:rsidRDefault="00AD7791" w:rsidP="00AD7791">
            <w:pPr>
              <w:pStyle w:val="TableText"/>
              <w:spacing w:before="28" w:after="14"/>
              <w:rPr>
                <w:b/>
              </w:rPr>
            </w:pPr>
            <w:r w:rsidRPr="00B85698">
              <w:rPr>
                <w:b/>
              </w:rPr>
              <w:t>Study Design</w:t>
            </w:r>
          </w:p>
        </w:tc>
        <w:tc>
          <w:tcPr>
            <w:tcW w:w="115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0CECE"/>
          </w:tcPr>
          <w:p w:rsidR="00AD7791" w:rsidRPr="00B85698" w:rsidRDefault="00AD7791" w:rsidP="00AD7791">
            <w:pPr>
              <w:pStyle w:val="TableText"/>
              <w:spacing w:before="28" w:after="14"/>
              <w:rPr>
                <w:b/>
              </w:rPr>
            </w:pPr>
            <w:r>
              <w:rPr>
                <w:b/>
              </w:rPr>
              <w:t>Number of Patients</w:t>
            </w:r>
          </w:p>
        </w:tc>
        <w:tc>
          <w:tcPr>
            <w:tcW w:w="16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0CECE"/>
          </w:tcPr>
          <w:p w:rsidR="00AD7791" w:rsidRPr="00B85698" w:rsidRDefault="00AD7791" w:rsidP="00AD7791">
            <w:pPr>
              <w:pStyle w:val="TableText"/>
              <w:spacing w:before="28" w:after="14"/>
              <w:rPr>
                <w:b/>
              </w:rPr>
            </w:pPr>
            <w:r w:rsidRPr="00B85698">
              <w:rPr>
                <w:b/>
              </w:rPr>
              <w:t>Diagnosis</w:t>
            </w:r>
          </w:p>
        </w:tc>
        <w:tc>
          <w:tcPr>
            <w:tcW w:w="126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0CECE"/>
          </w:tcPr>
          <w:p w:rsidR="00AD7791" w:rsidRPr="00B85698" w:rsidRDefault="00AD7791" w:rsidP="00AD7791">
            <w:pPr>
              <w:pStyle w:val="TableText"/>
              <w:spacing w:before="28" w:after="14"/>
              <w:rPr>
                <w:b/>
              </w:rPr>
            </w:pPr>
            <w:r w:rsidRPr="00B85698">
              <w:rPr>
                <w:b/>
              </w:rPr>
              <w:t>Age, Y</w:t>
            </w:r>
            <w:r>
              <w:rPr>
                <w:b/>
              </w:rPr>
              <w:t>ears (M</w:t>
            </w:r>
            <w:r w:rsidRPr="00B85698">
              <w:rPr>
                <w:b/>
              </w:rPr>
              <w:t>ean±SD)</w:t>
            </w:r>
          </w:p>
        </w:tc>
        <w:tc>
          <w:tcPr>
            <w:tcW w:w="108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0CECE"/>
          </w:tcPr>
          <w:p w:rsidR="00AD7791" w:rsidRPr="00B85698" w:rsidRDefault="00AD7791" w:rsidP="00AD7791">
            <w:pPr>
              <w:pStyle w:val="TableText"/>
              <w:spacing w:before="28" w:after="14"/>
              <w:rPr>
                <w:b/>
              </w:rPr>
            </w:pPr>
            <w:r w:rsidRPr="00B85698">
              <w:rPr>
                <w:b/>
              </w:rPr>
              <w:t>% Male</w:t>
            </w:r>
          </w:p>
        </w:tc>
        <w:tc>
          <w:tcPr>
            <w:tcW w:w="13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0CECE"/>
          </w:tcPr>
          <w:p w:rsidR="00AD7791" w:rsidRPr="00B85698" w:rsidRDefault="00AD7791" w:rsidP="00AD7791">
            <w:pPr>
              <w:pStyle w:val="TableText"/>
              <w:spacing w:before="28" w:after="14"/>
              <w:rPr>
                <w:b/>
              </w:rPr>
            </w:pPr>
            <w:r w:rsidRPr="00B85698">
              <w:rPr>
                <w:b/>
              </w:rPr>
              <w:t>N</w:t>
            </w:r>
            <w:r w:rsidRPr="00B85698">
              <w:rPr>
                <w:b/>
              </w:rPr>
              <w:br/>
              <w:t>Harmed (%)</w:t>
            </w:r>
          </w:p>
        </w:tc>
        <w:tc>
          <w:tcPr>
            <w:tcW w:w="252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0CECE"/>
          </w:tcPr>
          <w:p w:rsidR="00AD7791" w:rsidRPr="00B85698" w:rsidRDefault="00AD7791" w:rsidP="00AD7791">
            <w:pPr>
              <w:pStyle w:val="TableText"/>
              <w:spacing w:before="28" w:after="14"/>
              <w:rPr>
                <w:b/>
              </w:rPr>
            </w:pPr>
            <w:r w:rsidRPr="00B85698">
              <w:rPr>
                <w:b/>
              </w:rPr>
              <w:t>Adverse Events</w:t>
            </w:r>
          </w:p>
        </w:tc>
        <w:tc>
          <w:tcPr>
            <w:tcW w:w="252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0CECE"/>
          </w:tcPr>
          <w:p w:rsidR="00AD7791" w:rsidRPr="00B85698" w:rsidRDefault="00AD7791" w:rsidP="00AD7791">
            <w:pPr>
              <w:pStyle w:val="TableText"/>
              <w:spacing w:before="28" w:after="14"/>
              <w:rPr>
                <w:b/>
              </w:rPr>
            </w:pPr>
            <w:r w:rsidRPr="00B85698">
              <w:rPr>
                <w:b/>
              </w:rPr>
              <w:t>Notes</w:t>
            </w:r>
          </w:p>
        </w:tc>
      </w:tr>
      <w:tr w:rsidR="00AD7791" w:rsidRPr="00B85698" w:rsidTr="00AD7791">
        <w:trPr>
          <w:cantSplit/>
          <w:trHeight w:val="20"/>
          <w:jc w:val="center"/>
        </w:trPr>
        <w:tc>
          <w:tcPr>
            <w:tcW w:w="1708" w:type="dxa"/>
            <w:tcBorders>
              <w:top w:val="double" w:sz="4" w:space="0" w:color="auto"/>
            </w:tcBorders>
          </w:tcPr>
          <w:p w:rsidR="00AD7791" w:rsidRPr="00B85698" w:rsidRDefault="00AD7791" w:rsidP="00AD7791">
            <w:pPr>
              <w:pStyle w:val="TableText"/>
              <w:spacing w:before="28" w:after="14"/>
            </w:pPr>
            <w:r w:rsidRPr="00B85698">
              <w:t xml:space="preserve">Kim et al. </w:t>
            </w:r>
            <w:r w:rsidRPr="00B85698">
              <w:br/>
              <w:t>2013</w:t>
            </w:r>
            <w:r w:rsidRPr="00215F35">
              <w:rPr>
                <w:vertAlign w:val="superscript"/>
              </w:rPr>
              <w:t>130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:rsidR="00AD7791" w:rsidRPr="00B85698" w:rsidRDefault="00AD7791" w:rsidP="00AD7791">
            <w:pPr>
              <w:pStyle w:val="TableText"/>
              <w:spacing w:before="28" w:after="14"/>
            </w:pPr>
            <w:r w:rsidRPr="00B85698">
              <w:t>Prospective cohort</w:t>
            </w:r>
          </w:p>
        </w:tc>
        <w:tc>
          <w:tcPr>
            <w:tcW w:w="1151" w:type="dxa"/>
            <w:tcBorders>
              <w:top w:val="double" w:sz="4" w:space="0" w:color="auto"/>
            </w:tcBorders>
          </w:tcPr>
          <w:p w:rsidR="00AD7791" w:rsidRPr="00B85698" w:rsidRDefault="00AD7791" w:rsidP="00AD7791">
            <w:pPr>
              <w:pStyle w:val="TableText"/>
              <w:spacing w:before="28" w:after="14"/>
            </w:pPr>
            <w:r w:rsidRPr="00B85698">
              <w:t>1,048</w:t>
            </w:r>
          </w:p>
        </w:tc>
        <w:tc>
          <w:tcPr>
            <w:tcW w:w="1684" w:type="dxa"/>
            <w:tcBorders>
              <w:top w:val="double" w:sz="4" w:space="0" w:color="auto"/>
            </w:tcBorders>
          </w:tcPr>
          <w:p w:rsidR="00AD7791" w:rsidRPr="00B85698" w:rsidRDefault="00AD7791" w:rsidP="00AD7791">
            <w:pPr>
              <w:pStyle w:val="TableText"/>
              <w:spacing w:before="28" w:after="14"/>
            </w:pPr>
            <w:r w:rsidRPr="00B85698">
              <w:t>Renal disease: 20</w:t>
            </w:r>
          </w:p>
          <w:p w:rsidR="00AD7791" w:rsidRPr="00B85698" w:rsidRDefault="00AD7791" w:rsidP="00AD7791">
            <w:pPr>
              <w:pStyle w:val="TableText"/>
              <w:spacing w:before="86" w:after="14"/>
            </w:pPr>
            <w:r w:rsidRPr="00B85698">
              <w:t>Cardiovascular disease: 38</w:t>
            </w:r>
          </w:p>
          <w:p w:rsidR="00AD7791" w:rsidRPr="00B85698" w:rsidRDefault="00AD7791" w:rsidP="00AD7791">
            <w:pPr>
              <w:pStyle w:val="TableText"/>
              <w:spacing w:before="86" w:after="14"/>
            </w:pPr>
            <w:r w:rsidRPr="00B85698">
              <w:t>Other allergic disease: 91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AD7791" w:rsidRPr="00B85698" w:rsidRDefault="00AD7791" w:rsidP="00AD7791">
            <w:pPr>
              <w:pStyle w:val="TableText"/>
              <w:spacing w:before="28" w:after="14"/>
            </w:pPr>
            <w:r w:rsidRPr="00B85698">
              <w:t>55.1±14.5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AD7791" w:rsidRPr="00B85698" w:rsidRDefault="00AD7791" w:rsidP="00AD7791">
            <w:pPr>
              <w:pStyle w:val="TableText"/>
              <w:spacing w:before="28" w:after="14"/>
            </w:pPr>
            <w:r w:rsidRPr="00B85698">
              <w:t>47.8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:rsidR="00AD7791" w:rsidRPr="00B85698" w:rsidRDefault="00AD7791" w:rsidP="00AD7791">
            <w:pPr>
              <w:pStyle w:val="TableText"/>
              <w:spacing w:before="28" w:after="14"/>
            </w:pPr>
            <w:r w:rsidRPr="00B85698">
              <w:t>61 (5.8%)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AD7791" w:rsidRPr="00B85698" w:rsidRDefault="00AD7791" w:rsidP="00AD7791">
            <w:pPr>
              <w:pStyle w:val="TableText"/>
              <w:spacing w:before="28" w:after="14"/>
            </w:pPr>
            <w:r w:rsidRPr="00B85698">
              <w:rPr>
                <w:u w:val="single"/>
              </w:rPr>
              <w:t>Immediate reactions</w:t>
            </w:r>
            <w:r w:rsidRPr="00B85698">
              <w:t>:</w:t>
            </w:r>
          </w:p>
          <w:p w:rsidR="00AD7791" w:rsidRPr="00B85698" w:rsidRDefault="00AD7791" w:rsidP="00AD7791">
            <w:pPr>
              <w:pStyle w:val="TableText"/>
              <w:spacing w:before="28" w:after="14"/>
            </w:pPr>
            <w:r w:rsidRPr="00B85698">
              <w:t>Mild: 51</w:t>
            </w:r>
            <w:r w:rsidRPr="00B85698">
              <w:br/>
              <w:t>Moderate: 1</w:t>
            </w:r>
          </w:p>
          <w:p w:rsidR="00AD7791" w:rsidRPr="00B85698" w:rsidRDefault="00AD7791" w:rsidP="00AD7791">
            <w:pPr>
              <w:pStyle w:val="TableText"/>
              <w:spacing w:before="86" w:after="14"/>
              <w:rPr>
                <w:u w:val="single"/>
              </w:rPr>
            </w:pPr>
            <w:r w:rsidRPr="00B85698">
              <w:rPr>
                <w:u w:val="single"/>
              </w:rPr>
              <w:t>Nonimmediate reaction</w:t>
            </w:r>
            <w:r w:rsidRPr="00B85698">
              <w:t>:</w:t>
            </w:r>
          </w:p>
          <w:p w:rsidR="00AD7791" w:rsidRPr="00B85698" w:rsidRDefault="00AD7791" w:rsidP="00AD7791">
            <w:pPr>
              <w:pStyle w:val="TableText"/>
              <w:spacing w:before="28" w:after="14"/>
              <w:rPr>
                <w:u w:val="single"/>
              </w:rPr>
            </w:pPr>
            <w:r w:rsidRPr="00B85698">
              <w:t>Mild: 8</w:t>
            </w:r>
            <w:r w:rsidRPr="00B85698">
              <w:br/>
              <w:t>Moderate: 1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AD7791" w:rsidRPr="00B85698" w:rsidRDefault="00AD7791" w:rsidP="00AD7791">
            <w:pPr>
              <w:pStyle w:val="TableText"/>
              <w:spacing w:before="28" w:after="14"/>
            </w:pPr>
            <w:r w:rsidRPr="00B85698">
              <w:rPr>
                <w:u w:val="single"/>
              </w:rPr>
              <w:t>Setting</w:t>
            </w:r>
            <w:r w:rsidRPr="00B85698">
              <w:t>: Seoul National University Bundang Hospital, Korea</w:t>
            </w:r>
          </w:p>
          <w:p w:rsidR="00AD7791" w:rsidRPr="00B85698" w:rsidRDefault="00AD7791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Timing</w:t>
            </w:r>
            <w:r w:rsidRPr="00B85698">
              <w:t>: July to November 2010</w:t>
            </w:r>
          </w:p>
          <w:p w:rsidR="00AD7791" w:rsidRPr="00B85698" w:rsidRDefault="00AD7791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Contrast medium (CM</w:t>
            </w:r>
            <w:r w:rsidRPr="00B85698">
              <w:t>): 721</w:t>
            </w:r>
            <w:r>
              <w:t> </w:t>
            </w:r>
            <w:r w:rsidRPr="00B85698">
              <w:t>(68.8%) Iopromide, 323</w:t>
            </w:r>
            <w:r>
              <w:t> </w:t>
            </w:r>
            <w:r w:rsidRPr="00B85698">
              <w:t>(0.8%) Iomeprol, 3 (0.3%) Iohexol, and 1 (0.1%) Iodixanol</w:t>
            </w:r>
          </w:p>
          <w:p w:rsidR="00AD7791" w:rsidRPr="00B85698" w:rsidRDefault="00AD7791" w:rsidP="00AD7791">
            <w:pPr>
              <w:pStyle w:val="TableText"/>
              <w:spacing w:before="86" w:after="14"/>
            </w:pPr>
            <w:r w:rsidRPr="00B85698">
              <w:t>“RCM skin testing for screening is of no clinical utility in predicting hypersensitivity reactions.”</w:t>
            </w:r>
          </w:p>
        </w:tc>
      </w:tr>
    </w:tbl>
    <w:p w:rsidR="001F0F53" w:rsidRDefault="001F0F53"/>
    <w:p w:rsidR="001F0F53" w:rsidRDefault="001F0F53">
      <w:r>
        <w:br w:type="page"/>
      </w:r>
    </w:p>
    <w:tbl>
      <w:tblPr>
        <w:tblW w:w="14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8"/>
        <w:gridCol w:w="1350"/>
        <w:gridCol w:w="1151"/>
        <w:gridCol w:w="1684"/>
        <w:gridCol w:w="1260"/>
        <w:gridCol w:w="1080"/>
        <w:gridCol w:w="1350"/>
        <w:gridCol w:w="2520"/>
        <w:gridCol w:w="2520"/>
      </w:tblGrid>
      <w:tr w:rsidR="001F0F53" w:rsidRPr="00B85698" w:rsidTr="00EC25C4">
        <w:trPr>
          <w:cantSplit/>
          <w:trHeight w:val="20"/>
          <w:tblHeader/>
          <w:jc w:val="center"/>
        </w:trPr>
        <w:tc>
          <w:tcPr>
            <w:tcW w:w="14623" w:type="dxa"/>
            <w:gridSpan w:val="9"/>
            <w:tcBorders>
              <w:top w:val="nil"/>
              <w:left w:val="nil"/>
              <w:right w:val="nil"/>
            </w:tcBorders>
          </w:tcPr>
          <w:p w:rsidR="001F0F53" w:rsidRPr="00EC25C4" w:rsidRDefault="001F0F53" w:rsidP="00EC25C4">
            <w:pPr>
              <w:pStyle w:val="TableTitle"/>
              <w:pageBreakBefore/>
              <w:tabs>
                <w:tab w:val="left" w:pos="360"/>
              </w:tabs>
              <w:spacing w:after="20"/>
              <w:ind w:left="-810"/>
            </w:pPr>
            <w:r>
              <w:lastRenderedPageBreak/>
              <w:t xml:space="preserve">             Table C-</w:t>
            </w:r>
            <w:r>
              <w:rPr>
                <w:noProof/>
              </w:rPr>
              <w:t>68</w:t>
            </w:r>
            <w:r>
              <w:t>.</w:t>
            </w:r>
            <w:r>
              <w:tab/>
              <w:t>CT-related adverse events, (continued)</w:t>
            </w:r>
          </w:p>
        </w:tc>
      </w:tr>
      <w:tr w:rsidR="001F0F53" w:rsidRPr="00B85698" w:rsidTr="00EC25C4">
        <w:trPr>
          <w:cantSplit/>
          <w:trHeight w:val="20"/>
          <w:tblHeader/>
          <w:jc w:val="center"/>
        </w:trPr>
        <w:tc>
          <w:tcPr>
            <w:tcW w:w="1708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rPr>
                <w:b/>
              </w:rPr>
              <w:t>Study</w:t>
            </w:r>
          </w:p>
        </w:tc>
        <w:tc>
          <w:tcPr>
            <w:tcW w:w="135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rPr>
                <w:b/>
              </w:rPr>
              <w:t>Study Design</w:t>
            </w:r>
          </w:p>
        </w:tc>
        <w:tc>
          <w:tcPr>
            <w:tcW w:w="1151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>
              <w:rPr>
                <w:b/>
              </w:rPr>
              <w:t>Number of Patients</w:t>
            </w:r>
          </w:p>
        </w:tc>
        <w:tc>
          <w:tcPr>
            <w:tcW w:w="1684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rPr>
                <w:b/>
              </w:rPr>
              <w:t>Diagnosis</w:t>
            </w:r>
          </w:p>
        </w:tc>
        <w:tc>
          <w:tcPr>
            <w:tcW w:w="126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rPr>
                <w:b/>
              </w:rPr>
              <w:t>Age, Y</w:t>
            </w:r>
            <w:r>
              <w:rPr>
                <w:b/>
              </w:rPr>
              <w:t>ears (M</w:t>
            </w:r>
            <w:r w:rsidRPr="00B85698">
              <w:rPr>
                <w:b/>
              </w:rPr>
              <w:t>ean±SD)</w:t>
            </w:r>
          </w:p>
        </w:tc>
        <w:tc>
          <w:tcPr>
            <w:tcW w:w="108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rPr>
                <w:b/>
              </w:rPr>
              <w:t>% Male</w:t>
            </w:r>
          </w:p>
        </w:tc>
        <w:tc>
          <w:tcPr>
            <w:tcW w:w="135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rPr>
                <w:b/>
              </w:rPr>
              <w:t>N</w:t>
            </w:r>
            <w:r w:rsidRPr="00B85698">
              <w:rPr>
                <w:b/>
              </w:rPr>
              <w:br/>
              <w:t>Harmed (%)</w:t>
            </w:r>
          </w:p>
        </w:tc>
        <w:tc>
          <w:tcPr>
            <w:tcW w:w="2520" w:type="dxa"/>
          </w:tcPr>
          <w:p w:rsidR="001F0F53" w:rsidRPr="00B85698" w:rsidRDefault="001F0F53" w:rsidP="00AD7791">
            <w:pPr>
              <w:pStyle w:val="TableText"/>
              <w:spacing w:before="28" w:after="14"/>
              <w:rPr>
                <w:u w:val="single"/>
              </w:rPr>
            </w:pPr>
            <w:r w:rsidRPr="00B85698">
              <w:rPr>
                <w:b/>
              </w:rPr>
              <w:t>Adverse Events</w:t>
            </w:r>
          </w:p>
        </w:tc>
        <w:tc>
          <w:tcPr>
            <w:tcW w:w="2520" w:type="dxa"/>
          </w:tcPr>
          <w:p w:rsidR="001F0F53" w:rsidRPr="00B85698" w:rsidRDefault="001F0F53" w:rsidP="00AD7791">
            <w:pPr>
              <w:pStyle w:val="TableText"/>
              <w:spacing w:before="28" w:after="14"/>
              <w:rPr>
                <w:u w:val="single"/>
              </w:rPr>
            </w:pPr>
            <w:r w:rsidRPr="00B85698">
              <w:rPr>
                <w:b/>
              </w:rPr>
              <w:t>Notes</w:t>
            </w:r>
          </w:p>
        </w:tc>
      </w:tr>
      <w:tr w:rsidR="001F0F53" w:rsidRPr="00B85698" w:rsidTr="00AD7791">
        <w:trPr>
          <w:cantSplit/>
          <w:trHeight w:val="20"/>
          <w:jc w:val="center"/>
        </w:trPr>
        <w:tc>
          <w:tcPr>
            <w:tcW w:w="1708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Kobayashi et al. 2013</w:t>
            </w:r>
            <w:r w:rsidRPr="00215F35">
              <w:rPr>
                <w:vertAlign w:val="superscript"/>
              </w:rPr>
              <w:t>131</w:t>
            </w:r>
          </w:p>
        </w:tc>
        <w:tc>
          <w:tcPr>
            <w:tcW w:w="135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Retro</w:t>
            </w:r>
            <w:r w:rsidRPr="00B85698">
              <w:softHyphen/>
              <w:t>spective cohort</w:t>
            </w:r>
          </w:p>
        </w:tc>
        <w:tc>
          <w:tcPr>
            <w:tcW w:w="1151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36,472</w:t>
            </w:r>
          </w:p>
        </w:tc>
        <w:tc>
          <w:tcPr>
            <w:tcW w:w="1684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Diabetes: 7,138 (19.5%)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Hypertension: 10,461 (28.6%)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Dyslipidemia: 5,972 (16.4%)</w:t>
            </w:r>
          </w:p>
        </w:tc>
        <w:tc>
          <w:tcPr>
            <w:tcW w:w="126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58.3</w:t>
            </w:r>
          </w:p>
        </w:tc>
        <w:tc>
          <w:tcPr>
            <w:tcW w:w="108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52</w:t>
            </w:r>
          </w:p>
        </w:tc>
        <w:tc>
          <w:tcPr>
            <w:tcW w:w="135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779 (2.1%)</w:t>
            </w:r>
          </w:p>
        </w:tc>
        <w:tc>
          <w:tcPr>
            <w:tcW w:w="2520" w:type="dxa"/>
          </w:tcPr>
          <w:p w:rsidR="001F0F53" w:rsidRPr="00B85698" w:rsidRDefault="001F0F53" w:rsidP="00AD7791">
            <w:pPr>
              <w:pStyle w:val="TableText"/>
              <w:spacing w:before="28" w:after="14"/>
              <w:rPr>
                <w:u w:val="single"/>
              </w:rPr>
            </w:pPr>
            <w:r w:rsidRPr="00B85698">
              <w:rPr>
                <w:u w:val="single"/>
              </w:rPr>
              <w:t>Acute adverse reactions (mild</w:t>
            </w:r>
            <w:r w:rsidRPr="00B85698">
              <w:t>): 756</w:t>
            </w:r>
          </w:p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Nausea/vomiting, rash, coughing/sneezing</w:t>
            </w:r>
          </w:p>
          <w:p w:rsidR="001F0F53" w:rsidRPr="00B85698" w:rsidRDefault="001F0F53" w:rsidP="00AD7791">
            <w:pPr>
              <w:pStyle w:val="TableText"/>
              <w:spacing w:before="86" w:after="14"/>
              <w:rPr>
                <w:u w:val="single"/>
              </w:rPr>
            </w:pPr>
            <w:r w:rsidRPr="00B85698">
              <w:rPr>
                <w:u w:val="single"/>
              </w:rPr>
              <w:t>Severe reactions</w:t>
            </w:r>
            <w:r w:rsidRPr="00B85698">
              <w:t>: 23</w:t>
            </w:r>
          </w:p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Shock, hypotension, desaturation, and airway obstruction</w:t>
            </w:r>
          </w:p>
        </w:tc>
        <w:tc>
          <w:tcPr>
            <w:tcW w:w="252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rPr>
                <w:u w:val="single"/>
              </w:rPr>
              <w:t>Setting</w:t>
            </w:r>
            <w:r w:rsidRPr="00B85698">
              <w:t>: A community hospital in Tokyo, Japan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Timing</w:t>
            </w:r>
            <w:r w:rsidRPr="00B85698">
              <w:t>: April 2004 to March</w:t>
            </w:r>
            <w:r>
              <w:t> </w:t>
            </w:r>
            <w:r w:rsidRPr="00B85698">
              <w:t>2011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CM</w:t>
            </w:r>
            <w:r w:rsidRPr="00B85698">
              <w:t>: non-ionic low-osmolar contrast agents such as iopamidol, iohexol, ioversol or iomeprol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In multivariate logistic regression analysis, an adverse reaction history to contrast agents, urticaria, allergic history to drugs other than contrast agents, contrast agent concentration &gt;70%, age &lt;50 years, and total contrast agent dose &gt;65 grams were significant predictors of an acute adverse reaction.</w:t>
            </w:r>
          </w:p>
        </w:tc>
      </w:tr>
      <w:tr w:rsidR="001F0F53" w:rsidRPr="00B85698" w:rsidTr="00AD7791">
        <w:trPr>
          <w:cantSplit/>
          <w:trHeight w:val="20"/>
          <w:jc w:val="center"/>
        </w:trPr>
        <w:tc>
          <w:tcPr>
            <w:tcW w:w="1708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lastRenderedPageBreak/>
              <w:t>Davenport et al. 2012</w:t>
            </w:r>
            <w:r w:rsidRPr="00215F35">
              <w:rPr>
                <w:vertAlign w:val="superscript"/>
              </w:rPr>
              <w:t>132</w:t>
            </w:r>
          </w:p>
        </w:tc>
        <w:tc>
          <w:tcPr>
            <w:tcW w:w="135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Retro</w:t>
            </w:r>
            <w:r w:rsidRPr="00B85698">
              <w:softHyphen/>
              <w:t>spective database review</w:t>
            </w:r>
          </w:p>
        </w:tc>
        <w:tc>
          <w:tcPr>
            <w:tcW w:w="1151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>
              <w:t>24,826 injections of IV I</w:t>
            </w:r>
            <w:r w:rsidRPr="00B85698">
              <w:t>opamidol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12,684</w:t>
            </w:r>
          </w:p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injections during warming period, 12,142 injections during no warming</w:t>
            </w:r>
          </w:p>
        </w:tc>
        <w:tc>
          <w:tcPr>
            <w:tcW w:w="1684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</w:p>
        </w:tc>
        <w:tc>
          <w:tcPr>
            <w:tcW w:w="126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51 (Range: 1–79 years) period 1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52 (Range: 4–90 years), period 2</w:t>
            </w:r>
          </w:p>
        </w:tc>
        <w:tc>
          <w:tcPr>
            <w:tcW w:w="108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42% period 1,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28% period 2</w:t>
            </w:r>
          </w:p>
        </w:tc>
        <w:tc>
          <w:tcPr>
            <w:tcW w:w="135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177 (0.7%)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Warming: 82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No warming: 95</w:t>
            </w:r>
          </w:p>
        </w:tc>
        <w:tc>
          <w:tcPr>
            <w:tcW w:w="2520" w:type="dxa"/>
          </w:tcPr>
          <w:p w:rsidR="001F0F53" w:rsidRPr="00B85698" w:rsidRDefault="001F0F53" w:rsidP="00AD7791">
            <w:pPr>
              <w:pStyle w:val="TableText"/>
              <w:spacing w:before="28" w:after="14"/>
              <w:rPr>
                <w:u w:val="single"/>
              </w:rPr>
            </w:pPr>
            <w:r w:rsidRPr="00B85698">
              <w:rPr>
                <w:u w:val="single"/>
              </w:rPr>
              <w:t>Iopamidol 300 (no warming</w:t>
            </w:r>
            <w:r w:rsidRPr="00B85698">
              <w:t>): 69</w:t>
            </w:r>
          </w:p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Extravasations: 23</w:t>
            </w:r>
          </w:p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Allergic-like reactions: 46 (41 mild, 5 moderate)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Iopamidol 300 (warming)</w:t>
            </w:r>
            <w:r w:rsidRPr="00B85698">
              <w:t>:74</w:t>
            </w:r>
          </w:p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Extravasations: 32</w:t>
            </w:r>
          </w:p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Allergic-like reactions: 42 (33 mild, 8 moderate, 1 severe [patient developed pulseless electric activity after injection and although use of CPR returned the patient to normal sinus rhythm, an infected sternotomy wound reopened, and became infected. The patient died 2</w:t>
            </w:r>
            <w:r>
              <w:t> </w:t>
            </w:r>
            <w:r w:rsidRPr="00B85698">
              <w:t>months later of complications related to the infected site.])</w:t>
            </w:r>
          </w:p>
          <w:p w:rsidR="001F0F53" w:rsidRPr="00B85698" w:rsidRDefault="001F0F53" w:rsidP="00AD7791">
            <w:pPr>
              <w:pStyle w:val="TableText"/>
              <w:spacing w:before="86" w:after="14"/>
              <w:rPr>
                <w:u w:val="single"/>
              </w:rPr>
            </w:pPr>
            <w:r w:rsidRPr="00B85698">
              <w:rPr>
                <w:u w:val="single"/>
              </w:rPr>
              <w:t>Iopamidol 370 (no warming)</w:t>
            </w:r>
            <w:r w:rsidRPr="00B85698">
              <w:t>: 26</w:t>
            </w:r>
          </w:p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Extravasations: 18</w:t>
            </w:r>
          </w:p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Allergic-like reactions: 8 (6</w:t>
            </w:r>
            <w:r>
              <w:t> </w:t>
            </w:r>
            <w:r w:rsidRPr="00B85698">
              <w:t>mild, 2 moderate)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Iopamidol 370 (warming</w:t>
            </w:r>
            <w:r w:rsidRPr="00B85698">
              <w:t>): 8</w:t>
            </w:r>
          </w:p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Extravasations: 5</w:t>
            </w:r>
          </w:p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Allergic-like reactions: 3 (all mild)</w:t>
            </w:r>
          </w:p>
        </w:tc>
        <w:tc>
          <w:tcPr>
            <w:tcW w:w="252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rPr>
                <w:u w:val="single"/>
              </w:rPr>
              <w:t>Setting</w:t>
            </w:r>
            <w:r w:rsidRPr="00B85698">
              <w:t>: Duke University Medical Center, Durham, NC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Timing</w:t>
            </w:r>
            <w:r w:rsidRPr="00B85698">
              <w:t>: March 14, 2010 to April 19, 2011 (peri</w:t>
            </w:r>
            <w:r>
              <w:t>od 1), October 1, 2010 to April </w:t>
            </w:r>
            <w:r w:rsidRPr="00B85698">
              <w:t>19,</w:t>
            </w:r>
            <w:r>
              <w:t> </w:t>
            </w:r>
            <w:r w:rsidRPr="00B85698">
              <w:t>2011 (period 2)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CM</w:t>
            </w:r>
            <w:r w:rsidRPr="00B85698">
              <w:t>: Iopamidol 300 for CT exams, Iopamidol 370 for CT angiographic exams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“Extrinsic warming (to 37̊ C) does not appear to affect adverse event rates for intravenous injections of iopamidol 300 of less than 6</w:t>
            </w:r>
            <w:r>
              <w:t> </w:t>
            </w:r>
            <w:r w:rsidRPr="00B85698">
              <w:t>m:/sec but is associated with a significant reduction in extravasation and overall adverse event rates for the more viscous iopamidol 370.”</w:t>
            </w:r>
          </w:p>
        </w:tc>
      </w:tr>
      <w:tr w:rsidR="001F0F53" w:rsidRPr="00B85698" w:rsidTr="00AD7791">
        <w:trPr>
          <w:cantSplit/>
          <w:trHeight w:val="20"/>
          <w:jc w:val="center"/>
        </w:trPr>
        <w:tc>
          <w:tcPr>
            <w:tcW w:w="1708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lastRenderedPageBreak/>
              <w:t xml:space="preserve">Jung et al. </w:t>
            </w:r>
            <w:r>
              <w:br/>
            </w:r>
            <w:r w:rsidRPr="00B85698">
              <w:t>2012</w:t>
            </w:r>
            <w:r w:rsidRPr="00215F35">
              <w:rPr>
                <w:vertAlign w:val="superscript"/>
              </w:rPr>
              <w:t>144</w:t>
            </w:r>
          </w:p>
        </w:tc>
        <w:tc>
          <w:tcPr>
            <w:tcW w:w="135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Retro</w:t>
            </w:r>
            <w:r w:rsidRPr="00B85698">
              <w:softHyphen/>
              <w:t>spective chart review</w:t>
            </w:r>
          </w:p>
        </w:tc>
        <w:tc>
          <w:tcPr>
            <w:tcW w:w="1151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47,338</w:t>
            </w:r>
          </w:p>
        </w:tc>
        <w:tc>
          <w:tcPr>
            <w:tcW w:w="1684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rPr>
                <w:u w:val="single"/>
              </w:rPr>
              <w:t>Medical history of 50 patients with cutaneous adverse reactions (CARs)</w:t>
            </w:r>
            <w:r w:rsidRPr="00B85698">
              <w:t>: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 xml:space="preserve">17 malignant neoplasm, 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 xml:space="preserve">13 hypertension, 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 xml:space="preserve">6 diabetes mellitus, 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 xml:space="preserve">5 allergic history, 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5 renal disease,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3 past adverse reactions to contrast medium,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 xml:space="preserve">2 tuberculosis, 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2 hepatitis</w:t>
            </w:r>
          </w:p>
        </w:tc>
        <w:tc>
          <w:tcPr>
            <w:tcW w:w="126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0 to &gt;80 years; focus on CARs occurring in 50 patients (age range: 18 to 81)</w:t>
            </w:r>
          </w:p>
        </w:tc>
        <w:tc>
          <w:tcPr>
            <w:tcW w:w="108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58</w:t>
            </w:r>
          </w:p>
        </w:tc>
        <w:tc>
          <w:tcPr>
            <w:tcW w:w="135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62 (.13%)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50 (80.7% of overall AEs) CARs</w:t>
            </w:r>
          </w:p>
        </w:tc>
        <w:tc>
          <w:tcPr>
            <w:tcW w:w="252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rPr>
                <w:u w:val="single"/>
              </w:rPr>
              <w:t>Severe reactions</w:t>
            </w:r>
            <w:r w:rsidRPr="00B85698">
              <w:t>: 16</w:t>
            </w:r>
            <w:r w:rsidRPr="00B85698">
              <w:rPr>
                <w:u w:val="single"/>
              </w:rPr>
              <w:t xml:space="preserve"> (25.8% of overall AEs)</w:t>
            </w:r>
          </w:p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Dizziness, severe generalized urticaria, hypotension, and facial edema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Immediate CARs (46[92% of CARs])</w:t>
            </w:r>
          </w:p>
          <w:p w:rsidR="001F0F53" w:rsidRPr="00B85698" w:rsidRDefault="001F0F53" w:rsidP="00AD7791">
            <w:pPr>
              <w:pStyle w:val="TableText"/>
              <w:spacing w:before="43" w:after="14"/>
            </w:pPr>
            <w:r w:rsidRPr="00B85698">
              <w:t>Urticaria: 39 (78%)</w:t>
            </w:r>
          </w:p>
          <w:p w:rsidR="001F0F53" w:rsidRPr="00B85698" w:rsidRDefault="001F0F53" w:rsidP="00AD7791">
            <w:pPr>
              <w:pStyle w:val="TableText"/>
              <w:spacing w:before="43" w:after="14"/>
            </w:pPr>
            <w:r w:rsidRPr="00B85698">
              <w:t>Angioedema: 5 (10%)</w:t>
            </w:r>
          </w:p>
          <w:p w:rsidR="001F0F53" w:rsidRPr="00B85698" w:rsidRDefault="001F0F53" w:rsidP="00AD7791">
            <w:pPr>
              <w:pStyle w:val="TableText"/>
              <w:spacing w:before="43" w:after="14"/>
            </w:pPr>
            <w:r w:rsidRPr="00B85698">
              <w:t>Erythema: 1 (2%)</w:t>
            </w:r>
          </w:p>
          <w:p w:rsidR="001F0F53" w:rsidRPr="00B85698" w:rsidRDefault="001F0F53" w:rsidP="00AD7791">
            <w:pPr>
              <w:pStyle w:val="TableText"/>
              <w:spacing w:before="43" w:after="14"/>
            </w:pPr>
            <w:r w:rsidRPr="00B85698">
              <w:t>Pruritus without rash: 1 (2%)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Delayed CARS (4 [8% of CARs])</w:t>
            </w:r>
          </w:p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Maculopapular rash: 4 (8%)</w:t>
            </w:r>
          </w:p>
        </w:tc>
        <w:tc>
          <w:tcPr>
            <w:tcW w:w="252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rPr>
                <w:u w:val="single"/>
              </w:rPr>
              <w:t>Setting</w:t>
            </w:r>
            <w:r w:rsidRPr="00B85698">
              <w:t>: Seoul, Korea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Timing</w:t>
            </w:r>
            <w:r w:rsidRPr="00B85698">
              <w:t>: Aug. 2005 to Nov.</w:t>
            </w:r>
            <w:r>
              <w:t> </w:t>
            </w:r>
            <w:r w:rsidRPr="00B85698">
              <w:t>2009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CM</w:t>
            </w:r>
            <w:r w:rsidRPr="00B85698">
              <w:t>: nonionic monomers including iomeprol, iopamidol, iopromide, and ioversol</w:t>
            </w:r>
          </w:p>
        </w:tc>
      </w:tr>
      <w:tr w:rsidR="001F0F53" w:rsidRPr="00B85698" w:rsidTr="00AD7791">
        <w:trPr>
          <w:cantSplit/>
          <w:trHeight w:val="20"/>
          <w:jc w:val="center"/>
        </w:trPr>
        <w:tc>
          <w:tcPr>
            <w:tcW w:w="1708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Kingston et al. 2012</w:t>
            </w:r>
            <w:r w:rsidRPr="00215F35">
              <w:rPr>
                <w:vertAlign w:val="superscript"/>
              </w:rPr>
              <w:t>133</w:t>
            </w:r>
          </w:p>
        </w:tc>
        <w:tc>
          <w:tcPr>
            <w:tcW w:w="135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Prospective cohort</w:t>
            </w:r>
          </w:p>
        </w:tc>
        <w:tc>
          <w:tcPr>
            <w:tcW w:w="1151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26,854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CT and CTA (50)</w:t>
            </w:r>
          </w:p>
        </w:tc>
        <w:tc>
          <w:tcPr>
            <w:tcW w:w="1684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Multiple clinical factors and comorbidities</w:t>
            </w:r>
          </w:p>
        </w:tc>
        <w:tc>
          <w:tcPr>
            <w:tcW w:w="126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NR</w:t>
            </w:r>
          </w:p>
        </w:tc>
        <w:tc>
          <w:tcPr>
            <w:tcW w:w="108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NR</w:t>
            </w:r>
          </w:p>
        </w:tc>
        <w:tc>
          <w:tcPr>
            <w:tcW w:w="135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119 (.44%)</w:t>
            </w:r>
          </w:p>
        </w:tc>
        <w:tc>
          <w:tcPr>
            <w:tcW w:w="252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rPr>
                <w:u w:val="single"/>
              </w:rPr>
              <w:t>Extravasations</w:t>
            </w:r>
            <w:r w:rsidRPr="00B85698">
              <w:t>: 119 (0.44%)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 xml:space="preserve">39 (.34%) cannulations performed in the hospital, </w:t>
            </w:r>
          </w:p>
          <w:p w:rsidR="001F0F53" w:rsidRPr="00B85698" w:rsidRDefault="001F0F53" w:rsidP="00AD7791">
            <w:pPr>
              <w:pStyle w:val="TableText"/>
              <w:spacing w:before="43" w:after="14"/>
            </w:pPr>
            <w:r w:rsidRPr="00B85698">
              <w:t>80 performed prior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Extravasation occurred at the elbow (71.4%), forearm (10.9%), wrist (6.7%) and hand (7.6%).</w:t>
            </w:r>
          </w:p>
        </w:tc>
        <w:tc>
          <w:tcPr>
            <w:tcW w:w="252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rPr>
                <w:u w:val="single"/>
              </w:rPr>
              <w:t>Setting</w:t>
            </w:r>
            <w:r w:rsidRPr="00B85698">
              <w:t>: a hospital in Australia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Timing</w:t>
            </w:r>
            <w:r w:rsidRPr="00B85698">
              <w:t>: Sept. 2004 to April</w:t>
            </w:r>
            <w:r>
              <w:t> </w:t>
            </w:r>
            <w:r w:rsidRPr="00B85698">
              <w:t>2008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CM</w:t>
            </w:r>
            <w:r w:rsidRPr="00B85698">
              <w:t>: nonionic IV (Ultravist 300)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“Presence of cancer, hypertension, smoking and recent surgery was associated with higher extravasation rates.”</w:t>
            </w:r>
          </w:p>
        </w:tc>
      </w:tr>
      <w:tr w:rsidR="001F0F53" w:rsidRPr="00B85698" w:rsidTr="00AD7791">
        <w:trPr>
          <w:cantSplit/>
          <w:trHeight w:val="20"/>
          <w:jc w:val="center"/>
        </w:trPr>
        <w:tc>
          <w:tcPr>
            <w:tcW w:w="1708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lastRenderedPageBreak/>
              <w:t>Mitchell et al. 2012</w:t>
            </w:r>
            <w:r w:rsidRPr="00215F35">
              <w:rPr>
                <w:vertAlign w:val="superscript"/>
              </w:rPr>
              <w:t>134</w:t>
            </w:r>
          </w:p>
        </w:tc>
        <w:tc>
          <w:tcPr>
            <w:tcW w:w="135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Prospective consecutive cohort</w:t>
            </w:r>
          </w:p>
        </w:tc>
        <w:tc>
          <w:tcPr>
            <w:tcW w:w="1151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633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174 CTPA for PE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459 non-CTPA</w:t>
            </w:r>
          </w:p>
        </w:tc>
        <w:tc>
          <w:tcPr>
            <w:tcW w:w="1684" w:type="dxa"/>
          </w:tcPr>
          <w:p w:rsidR="001F0F53" w:rsidRPr="00B85698" w:rsidRDefault="001F0F53" w:rsidP="00AD7791">
            <w:pPr>
              <w:pStyle w:val="TableText"/>
              <w:spacing w:before="28" w:after="14"/>
              <w:rPr>
                <w:b/>
              </w:rPr>
            </w:pPr>
            <w:r w:rsidRPr="00B85698">
              <w:rPr>
                <w:b/>
              </w:rPr>
              <w:t>CTPA:</w:t>
            </w:r>
          </w:p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Anemia: 11%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DM: 19%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History of hypertension: 54%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Vascular disease: 15%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Congestive heart failure: 12%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Baseline renal insufficiency: 10%</w:t>
            </w:r>
          </w:p>
          <w:p w:rsidR="001F0F53" w:rsidRPr="00B85698" w:rsidRDefault="001F0F53" w:rsidP="00AD7791">
            <w:pPr>
              <w:pStyle w:val="TableText"/>
              <w:spacing w:before="86" w:after="14"/>
              <w:rPr>
                <w:b/>
              </w:rPr>
            </w:pPr>
            <w:r w:rsidRPr="00B85698">
              <w:rPr>
                <w:b/>
              </w:rPr>
              <w:t>Non-CTPA: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Anemia: 13%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DM: 17%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History of hypertension: 39%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Vascular disease: 8%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Congestive heart failure: 5%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Baseline renal insufficiency: 10%</w:t>
            </w:r>
          </w:p>
        </w:tc>
        <w:tc>
          <w:tcPr>
            <w:tcW w:w="126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CTPA: 50±16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Non-CTPA:</w:t>
            </w:r>
          </w:p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46±15</w:t>
            </w:r>
          </w:p>
        </w:tc>
        <w:tc>
          <w:tcPr>
            <w:tcW w:w="108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CTPA: 34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Non-CTPA: 46</w:t>
            </w:r>
          </w:p>
        </w:tc>
        <w:tc>
          <w:tcPr>
            <w:tcW w:w="135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</w:p>
        </w:tc>
        <w:tc>
          <w:tcPr>
            <w:tcW w:w="2520" w:type="dxa"/>
          </w:tcPr>
          <w:p w:rsidR="001F0F53" w:rsidRPr="00B85698" w:rsidRDefault="001F0F53" w:rsidP="00AD7791">
            <w:pPr>
              <w:pStyle w:val="TableText"/>
              <w:spacing w:before="28" w:after="14"/>
              <w:rPr>
                <w:b/>
              </w:rPr>
            </w:pPr>
            <w:r w:rsidRPr="00B85698">
              <w:rPr>
                <w:b/>
              </w:rPr>
              <w:t>CIN:</w:t>
            </w:r>
          </w:p>
          <w:p w:rsidR="001F0F53" w:rsidRPr="00B85698" w:rsidRDefault="001F0F53" w:rsidP="00AD7791">
            <w:pPr>
              <w:pStyle w:val="TableText"/>
              <w:spacing w:before="43" w:after="14"/>
            </w:pPr>
            <w:r w:rsidRPr="00B85698">
              <w:rPr>
                <w:u w:val="single"/>
              </w:rPr>
              <w:t>CTPA</w:t>
            </w:r>
            <w:r w:rsidRPr="00B85698">
              <w:t>: 25 (14%, 95% Confidence Interval: 10% to 20%)</w:t>
            </w:r>
          </w:p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rPr>
                <w:u w:val="single"/>
              </w:rPr>
              <w:t>Non-CTPA</w:t>
            </w:r>
            <w:r w:rsidRPr="00B85698">
              <w:t>: 45 (9.8%)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Severe renal failure</w:t>
            </w:r>
            <w:r w:rsidRPr="00B85698">
              <w:t>:3 CTPA</w:t>
            </w:r>
          </w:p>
          <w:p w:rsidR="001F0F53" w:rsidRPr="00B85698" w:rsidRDefault="001F0F53" w:rsidP="00AD7791">
            <w:pPr>
              <w:pStyle w:val="TableText"/>
              <w:spacing w:before="86" w:after="14"/>
              <w:rPr>
                <w:u w:val="single"/>
              </w:rPr>
            </w:pPr>
            <w:r w:rsidRPr="00B85698">
              <w:rPr>
                <w:u w:val="single"/>
              </w:rPr>
              <w:t>Death from renal failure</w:t>
            </w:r>
            <w:r w:rsidRPr="00B85698">
              <w:t>: 2</w:t>
            </w:r>
            <w:r>
              <w:t> </w:t>
            </w:r>
            <w:r w:rsidRPr="00B85698">
              <w:t>CTPA</w:t>
            </w:r>
          </w:p>
          <w:p w:rsidR="001F0F53" w:rsidRPr="00B85698" w:rsidRDefault="001F0F53" w:rsidP="00AD7791">
            <w:pPr>
              <w:pStyle w:val="TableText"/>
              <w:spacing w:before="86" w:after="14"/>
              <w:rPr>
                <w:u w:val="single"/>
              </w:rPr>
            </w:pPr>
            <w:r w:rsidRPr="00B85698">
              <w:rPr>
                <w:b/>
                <w:u w:val="single"/>
              </w:rPr>
              <w:t>All-cause 45-day mortality rate</w:t>
            </w:r>
            <w:r w:rsidRPr="00B85698">
              <w:rPr>
                <w:b/>
              </w:rPr>
              <w:t>:</w:t>
            </w:r>
            <w:r w:rsidRPr="00B85698">
              <w:t xml:space="preserve"> 15</w:t>
            </w:r>
          </w:p>
          <w:p w:rsidR="001F0F53" w:rsidRPr="00B85698" w:rsidRDefault="001F0F53" w:rsidP="00AD7791">
            <w:pPr>
              <w:pStyle w:val="TableText"/>
              <w:spacing w:before="43" w:after="14"/>
            </w:pPr>
            <w:r w:rsidRPr="00B85698">
              <w:rPr>
                <w:u w:val="single"/>
              </w:rPr>
              <w:t>CTPA</w:t>
            </w:r>
            <w:r w:rsidRPr="00B85698">
              <w:t>: 6 (3%), death due to renal failure (6), patients with CIN (4)</w:t>
            </w:r>
          </w:p>
          <w:p w:rsidR="001F0F53" w:rsidRPr="00B85698" w:rsidRDefault="001F0F53" w:rsidP="00AD7791">
            <w:pPr>
              <w:pStyle w:val="TableText"/>
              <w:spacing w:before="43" w:after="14"/>
              <w:rPr>
                <w:u w:val="single"/>
              </w:rPr>
            </w:pPr>
            <w:r w:rsidRPr="00B85698">
              <w:rPr>
                <w:u w:val="single"/>
              </w:rPr>
              <w:t>Non-CTPA</w:t>
            </w:r>
            <w:r w:rsidRPr="00B85698">
              <w:t>: 9 (2%)</w:t>
            </w:r>
          </w:p>
        </w:tc>
        <w:tc>
          <w:tcPr>
            <w:tcW w:w="252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rPr>
                <w:u w:val="single"/>
              </w:rPr>
              <w:t>Setting</w:t>
            </w:r>
            <w:r w:rsidRPr="00B85698">
              <w:t>: a large U.S. academic tertiary care center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Timing</w:t>
            </w:r>
            <w:r w:rsidRPr="00B85698">
              <w:t>: June 2007 to January 2009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CM</w:t>
            </w:r>
            <w:r w:rsidRPr="00B85698">
              <w:t>: NR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“Development of CIN was associated with an increased risk of death from any cause (relative risk=12, 95% Confidence Interval: 3 to 53).”</w:t>
            </w:r>
          </w:p>
        </w:tc>
      </w:tr>
      <w:tr w:rsidR="001F0F53" w:rsidRPr="00B85698" w:rsidTr="00AD7791">
        <w:trPr>
          <w:cantSplit/>
          <w:trHeight w:val="20"/>
          <w:jc w:val="center"/>
        </w:trPr>
        <w:tc>
          <w:tcPr>
            <w:tcW w:w="1708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lastRenderedPageBreak/>
              <w:t xml:space="preserve">Vogl et al. </w:t>
            </w:r>
            <w:r>
              <w:br/>
            </w:r>
            <w:r w:rsidRPr="00B85698">
              <w:t>2012</w:t>
            </w:r>
            <w:r w:rsidRPr="00215F35">
              <w:rPr>
                <w:vertAlign w:val="superscript"/>
              </w:rPr>
              <w:t>135</w:t>
            </w:r>
          </w:p>
        </w:tc>
        <w:tc>
          <w:tcPr>
            <w:tcW w:w="135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Observa</w:t>
            </w:r>
            <w:r w:rsidRPr="00B85698">
              <w:softHyphen/>
              <w:t>tional, non-intervention</w:t>
            </w:r>
            <w:r w:rsidRPr="00B85698">
              <w:softHyphen/>
              <w:t>al, prospective, multicenter</w:t>
            </w:r>
          </w:p>
        </w:tc>
        <w:tc>
          <w:tcPr>
            <w:tcW w:w="1151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10,836</w:t>
            </w:r>
          </w:p>
        </w:tc>
        <w:tc>
          <w:tcPr>
            <w:tcW w:w="1684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5,033 (46.4%) had 1 to 7 concomitant diseases (including DM (6.9%) and renal insufficiency (0.9%) that could potentially influence tolerability of ioversol</w:t>
            </w:r>
          </w:p>
        </w:tc>
        <w:tc>
          <w:tcPr>
            <w:tcW w:w="126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60.9</w:t>
            </w:r>
          </w:p>
        </w:tc>
        <w:tc>
          <w:tcPr>
            <w:tcW w:w="108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48.1</w:t>
            </w:r>
          </w:p>
        </w:tc>
        <w:tc>
          <w:tcPr>
            <w:tcW w:w="135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30 (0.28%)</w:t>
            </w:r>
          </w:p>
        </w:tc>
        <w:tc>
          <w:tcPr>
            <w:tcW w:w="2520" w:type="dxa"/>
          </w:tcPr>
          <w:p w:rsidR="001F0F53" w:rsidRPr="00B85698" w:rsidRDefault="001F0F53" w:rsidP="00AD7791">
            <w:pPr>
              <w:pStyle w:val="TableText"/>
              <w:spacing w:before="28" w:after="14"/>
              <w:rPr>
                <w:u w:val="single"/>
              </w:rPr>
            </w:pPr>
            <w:r w:rsidRPr="00B85698">
              <w:rPr>
                <w:u w:val="single"/>
              </w:rPr>
              <w:t xml:space="preserve">Mild: 26 </w:t>
            </w:r>
          </w:p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Urticaria: 13</w:t>
            </w:r>
          </w:p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Nausea: 11</w:t>
            </w:r>
          </w:p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Erythema: 6</w:t>
            </w:r>
          </w:p>
          <w:p w:rsidR="001F0F53" w:rsidRPr="00B85698" w:rsidRDefault="001F0F53" w:rsidP="00AD7791">
            <w:pPr>
              <w:pStyle w:val="TableText"/>
              <w:spacing w:before="28" w:after="14"/>
              <w:rPr>
                <w:u w:val="single"/>
              </w:rPr>
            </w:pPr>
          </w:p>
          <w:p w:rsidR="001F0F53" w:rsidRPr="00B85698" w:rsidRDefault="001F0F53" w:rsidP="00AD7791">
            <w:pPr>
              <w:pStyle w:val="TableText"/>
              <w:spacing w:before="28" w:after="14"/>
              <w:rPr>
                <w:u w:val="single"/>
              </w:rPr>
            </w:pPr>
            <w:r w:rsidRPr="00B85698">
              <w:rPr>
                <w:u w:val="single"/>
              </w:rPr>
              <w:t xml:space="preserve">Serious: 4 </w:t>
            </w:r>
          </w:p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Anaphylactoid adverse reactions requiring hospitalization</w:t>
            </w:r>
            <w:r>
              <w:t>: 3</w:t>
            </w:r>
          </w:p>
          <w:p w:rsidR="001F0F53" w:rsidRPr="00B85698" w:rsidRDefault="001F0F53" w:rsidP="00AD7791">
            <w:pPr>
              <w:pStyle w:val="TableText"/>
              <w:spacing w:before="28" w:after="14"/>
            </w:pPr>
          </w:p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Patients with ≥1 AE: 30</w:t>
            </w:r>
          </w:p>
        </w:tc>
        <w:tc>
          <w:tcPr>
            <w:tcW w:w="252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rPr>
                <w:u w:val="single"/>
              </w:rPr>
              <w:t>Setting</w:t>
            </w:r>
            <w:r w:rsidRPr="00B85698">
              <w:t>: 72 centers in Germany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Timing</w:t>
            </w:r>
            <w:r>
              <w:t>: August 2006 to April </w:t>
            </w:r>
            <w:r w:rsidRPr="00B85698">
              <w:t>2007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CM</w:t>
            </w:r>
            <w:r w:rsidRPr="00B85698">
              <w:t>: ioversol</w:t>
            </w:r>
          </w:p>
        </w:tc>
      </w:tr>
      <w:tr w:rsidR="001F0F53" w:rsidRPr="00B85698" w:rsidTr="00AD7791">
        <w:trPr>
          <w:cantSplit/>
          <w:trHeight w:val="20"/>
          <w:jc w:val="center"/>
        </w:trPr>
        <w:tc>
          <w:tcPr>
            <w:tcW w:w="1708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Cadwallader et al. 2011</w:t>
            </w:r>
            <w:r w:rsidRPr="00215F35">
              <w:rPr>
                <w:vertAlign w:val="superscript"/>
              </w:rPr>
              <w:t>136</w:t>
            </w:r>
          </w:p>
        </w:tc>
        <w:tc>
          <w:tcPr>
            <w:tcW w:w="135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Prospective audit</w:t>
            </w:r>
          </w:p>
        </w:tc>
        <w:tc>
          <w:tcPr>
            <w:tcW w:w="1151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198 scans</w:t>
            </w:r>
          </w:p>
        </w:tc>
        <w:tc>
          <w:tcPr>
            <w:tcW w:w="1684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Pancreatitis: 5.2%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Biliary pathology: 11.2%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Appendicitis: 12.6%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Bowel obstruction: 9%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Peptic ulcer disease: 3.2%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Diverticular disease: 6.6%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Postoperative complications: 3.6%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No diagnosis: 13.2%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Transferred specialty: 4.6%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Other 30.8%</w:t>
            </w:r>
          </w:p>
        </w:tc>
        <w:tc>
          <w:tcPr>
            <w:tcW w:w="126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50.4 (Range: 16–94)</w:t>
            </w:r>
          </w:p>
        </w:tc>
        <w:tc>
          <w:tcPr>
            <w:tcW w:w="108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44.4</w:t>
            </w:r>
          </w:p>
        </w:tc>
        <w:tc>
          <w:tcPr>
            <w:tcW w:w="135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41 (20.7%) scans didn’t alter manage</w:t>
            </w:r>
            <w:r w:rsidRPr="00B85698">
              <w:softHyphen/>
              <w:t>ment and were deemed as un</w:t>
            </w:r>
            <w:r w:rsidRPr="00B85698">
              <w:softHyphen/>
              <w:t>necessarily exposing patients to CT radiation</w:t>
            </w:r>
          </w:p>
        </w:tc>
        <w:tc>
          <w:tcPr>
            <w:tcW w:w="252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rPr>
                <w:u w:val="single"/>
              </w:rPr>
              <w:t>Risk of fatal cancer induction female aged</w:t>
            </w:r>
            <w:r w:rsidRPr="00B85698">
              <w:t>:</w:t>
            </w:r>
          </w:p>
          <w:p w:rsidR="001F0F53" w:rsidRPr="00B85698" w:rsidRDefault="001F0F53" w:rsidP="00AD7791">
            <w:pPr>
              <w:pStyle w:val="TableText"/>
              <w:spacing w:before="43" w:after="14"/>
            </w:pPr>
            <w:r w:rsidRPr="00B85698">
              <w:t>20: 1 in 1,675</w:t>
            </w:r>
          </w:p>
          <w:p w:rsidR="001F0F53" w:rsidRPr="00B85698" w:rsidRDefault="001F0F53" w:rsidP="00AD7791">
            <w:pPr>
              <w:pStyle w:val="TableText"/>
              <w:spacing w:before="43" w:after="14"/>
            </w:pPr>
            <w:r w:rsidRPr="00B85698">
              <w:t>30-50: 1 in 2,452</w:t>
            </w:r>
          </w:p>
          <w:p w:rsidR="001F0F53" w:rsidRPr="00B85698" w:rsidRDefault="001F0F53" w:rsidP="00AD7791">
            <w:pPr>
              <w:pStyle w:val="TableText"/>
              <w:spacing w:before="43" w:after="14"/>
            </w:pPr>
            <w:r w:rsidRPr="00B85698">
              <w:t>60: 1 in 3,070</w:t>
            </w:r>
          </w:p>
          <w:p w:rsidR="001F0F53" w:rsidRPr="00B85698" w:rsidRDefault="001F0F53" w:rsidP="00AD7791">
            <w:pPr>
              <w:pStyle w:val="TableText"/>
              <w:spacing w:before="43" w:after="14"/>
            </w:pPr>
            <w:r w:rsidRPr="00B85698">
              <w:t>70: 1 in 4,113</w:t>
            </w:r>
          </w:p>
          <w:p w:rsidR="001F0F53" w:rsidRPr="00B85698" w:rsidRDefault="001F0F53" w:rsidP="00AD7791">
            <w:pPr>
              <w:pStyle w:val="TableText"/>
              <w:spacing w:before="43" w:after="14"/>
            </w:pPr>
            <w:r w:rsidRPr="00B85698">
              <w:t>80: 1 in 7,130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Risk of fatal cancer induction male aged</w:t>
            </w:r>
            <w:r w:rsidRPr="00B85698">
              <w:t>:</w:t>
            </w:r>
          </w:p>
          <w:p w:rsidR="001F0F53" w:rsidRPr="00B85698" w:rsidRDefault="001F0F53" w:rsidP="00AD7791">
            <w:pPr>
              <w:pStyle w:val="TableText"/>
              <w:spacing w:before="43" w:after="14"/>
            </w:pPr>
            <w:r w:rsidRPr="00B85698">
              <w:t>30-50: 1 in 2,523</w:t>
            </w:r>
          </w:p>
          <w:p w:rsidR="001F0F53" w:rsidRPr="00B85698" w:rsidRDefault="001F0F53" w:rsidP="00AD7791">
            <w:pPr>
              <w:pStyle w:val="TableText"/>
              <w:spacing w:before="43" w:after="14"/>
            </w:pPr>
            <w:r w:rsidRPr="00B85698">
              <w:t>60: 1 in 3,897</w:t>
            </w:r>
          </w:p>
          <w:p w:rsidR="001F0F53" w:rsidRPr="00B85698" w:rsidRDefault="001F0F53" w:rsidP="00AD7791">
            <w:pPr>
              <w:pStyle w:val="TableText"/>
              <w:spacing w:before="43" w:after="14"/>
            </w:pPr>
            <w:r w:rsidRPr="00B85698">
              <w:t>80: 1 in 4,289</w:t>
            </w:r>
          </w:p>
        </w:tc>
        <w:tc>
          <w:tcPr>
            <w:tcW w:w="252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rPr>
                <w:u w:val="single"/>
              </w:rPr>
              <w:t>Setting</w:t>
            </w:r>
            <w:r w:rsidRPr="00B85698">
              <w:t>: Tertiary referral surgical unit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Timing</w:t>
            </w:r>
            <w:r w:rsidRPr="00B85698">
              <w:t>: March–May 2008</w:t>
            </w:r>
          </w:p>
          <w:p w:rsidR="001F0F53" w:rsidRPr="003D7194" w:rsidRDefault="001F0F53" w:rsidP="00AD7791">
            <w:pPr>
              <w:pStyle w:val="TableText"/>
              <w:spacing w:before="86" w:after="14"/>
            </w:pPr>
            <w:r w:rsidRPr="003D7194">
              <w:t>“The potential diagnostic benefits must outweigh the risks. Figures from the U.S. from 2007 suggest 19,500 CT scans were undertaken each day – the equivalent radiation dose of up to 5,850,000 chest radiographs.”</w:t>
            </w:r>
          </w:p>
        </w:tc>
      </w:tr>
      <w:tr w:rsidR="001F0F53" w:rsidRPr="00B85698" w:rsidTr="00AD7791">
        <w:trPr>
          <w:cantSplit/>
          <w:trHeight w:val="20"/>
          <w:jc w:val="center"/>
        </w:trPr>
        <w:tc>
          <w:tcPr>
            <w:tcW w:w="1708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lastRenderedPageBreak/>
              <w:t>Hatakeyama et al. 2011</w:t>
            </w:r>
            <w:r w:rsidRPr="00215F35">
              <w:rPr>
                <w:vertAlign w:val="superscript"/>
              </w:rPr>
              <w:t>137</w:t>
            </w:r>
          </w:p>
        </w:tc>
        <w:tc>
          <w:tcPr>
            <w:tcW w:w="135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Retrospective chart review</w:t>
            </w:r>
          </w:p>
        </w:tc>
        <w:tc>
          <w:tcPr>
            <w:tcW w:w="1151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50</w:t>
            </w:r>
          </w:p>
          <w:p w:rsidR="001F0F53" w:rsidRPr="00B85698" w:rsidRDefault="001F0F53" w:rsidP="00AD7791">
            <w:pPr>
              <w:pStyle w:val="TableText"/>
              <w:spacing w:before="43" w:after="14"/>
            </w:pPr>
            <w:r w:rsidRPr="00B85698">
              <w:t>(64 CTAs)</w:t>
            </w:r>
          </w:p>
        </w:tc>
        <w:tc>
          <w:tcPr>
            <w:tcW w:w="1684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Peritoneal Dialysis</w:t>
            </w:r>
          </w:p>
        </w:tc>
        <w:tc>
          <w:tcPr>
            <w:tcW w:w="126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55.0±13.1</w:t>
            </w:r>
          </w:p>
        </w:tc>
        <w:tc>
          <w:tcPr>
            <w:tcW w:w="108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68</w:t>
            </w:r>
          </w:p>
        </w:tc>
        <w:tc>
          <w:tcPr>
            <w:tcW w:w="135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2 (0.04%)</w:t>
            </w:r>
          </w:p>
        </w:tc>
        <w:tc>
          <w:tcPr>
            <w:tcW w:w="252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rPr>
                <w:u w:val="single"/>
              </w:rPr>
              <w:t>Mild</w:t>
            </w:r>
            <w:r w:rsidRPr="00B85698">
              <w:t>: 1</w:t>
            </w:r>
          </w:p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Skin disorder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Serious</w:t>
            </w:r>
            <w:r w:rsidRPr="00B85698">
              <w:t>: 1</w:t>
            </w:r>
          </w:p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Atrial fibrillation</w:t>
            </w:r>
          </w:p>
        </w:tc>
        <w:tc>
          <w:tcPr>
            <w:tcW w:w="252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rPr>
                <w:u w:val="single"/>
              </w:rPr>
              <w:t>Setting</w:t>
            </w:r>
            <w:r w:rsidRPr="00B85698">
              <w:t>: A hospital and research institute in Japan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Timin</w:t>
            </w:r>
            <w:r w:rsidRPr="00B85698">
              <w:t>g: 2002 to 2009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CM</w:t>
            </w:r>
            <w:r w:rsidRPr="00B85698">
              <w:t>: Iopamidol, a low osmolar nonionic</w:t>
            </w:r>
          </w:p>
        </w:tc>
      </w:tr>
      <w:tr w:rsidR="001F0F53" w:rsidRPr="00B85698" w:rsidTr="00AD7791">
        <w:trPr>
          <w:cantSplit/>
          <w:trHeight w:val="20"/>
          <w:jc w:val="center"/>
        </w:trPr>
        <w:tc>
          <w:tcPr>
            <w:tcW w:w="1708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 xml:space="preserve">Loh et al. </w:t>
            </w:r>
            <w:r>
              <w:br/>
            </w:r>
            <w:r w:rsidRPr="00B85698">
              <w:t>2010</w:t>
            </w:r>
            <w:r w:rsidRPr="00215F35">
              <w:rPr>
                <w:vertAlign w:val="superscript"/>
              </w:rPr>
              <w:t>138</w:t>
            </w:r>
          </w:p>
        </w:tc>
        <w:tc>
          <w:tcPr>
            <w:tcW w:w="135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Prospective surveillance</w:t>
            </w:r>
          </w:p>
        </w:tc>
        <w:tc>
          <w:tcPr>
            <w:tcW w:w="1151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539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258 iohexol (51 CTA, 209 CT)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281 control (un</w:t>
            </w:r>
            <w:r w:rsidRPr="00B85698">
              <w:softHyphen/>
              <w:t>enhanced CT)</w:t>
            </w:r>
          </w:p>
        </w:tc>
        <w:tc>
          <w:tcPr>
            <w:tcW w:w="1684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NR</w:t>
            </w:r>
          </w:p>
        </w:tc>
        <w:tc>
          <w:tcPr>
            <w:tcW w:w="126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53.05±14.9</w:t>
            </w:r>
          </w:p>
        </w:tc>
        <w:tc>
          <w:tcPr>
            <w:tcW w:w="108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57.7% iohexol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46.9% control</w:t>
            </w:r>
          </w:p>
        </w:tc>
        <w:tc>
          <w:tcPr>
            <w:tcW w:w="1350" w:type="dxa"/>
          </w:tcPr>
          <w:p w:rsidR="001F0F53" w:rsidRPr="003D7194" w:rsidRDefault="001F0F53" w:rsidP="00AD7791">
            <w:pPr>
              <w:pStyle w:val="TableText"/>
              <w:spacing w:before="28" w:after="14"/>
            </w:pPr>
            <w:r w:rsidRPr="003D7194">
              <w:t>87 (16.1%)</w:t>
            </w:r>
          </w:p>
          <w:p w:rsidR="001F0F53" w:rsidRDefault="001F0F53" w:rsidP="00AD7791">
            <w:pPr>
              <w:pStyle w:val="TableText"/>
              <w:spacing w:before="86" w:after="14"/>
            </w:pPr>
            <w:r w:rsidRPr="003D7194">
              <w:t>76 (29.4%)</w:t>
            </w:r>
            <w:r>
              <w:br/>
            </w:r>
            <w:r w:rsidRPr="003D7194">
              <w:t>Iohexol</w:t>
            </w:r>
          </w:p>
          <w:p w:rsidR="001F0F53" w:rsidRPr="003D7194" w:rsidRDefault="001F0F53" w:rsidP="00AD7791">
            <w:pPr>
              <w:pStyle w:val="TableText"/>
              <w:spacing w:before="86" w:after="14"/>
            </w:pPr>
            <w:r w:rsidRPr="003D7194">
              <w:t>11 (3.9%)</w:t>
            </w:r>
            <w:r>
              <w:br/>
            </w:r>
            <w:r w:rsidRPr="003D7194">
              <w:t>Control</w:t>
            </w:r>
          </w:p>
        </w:tc>
        <w:tc>
          <w:tcPr>
            <w:tcW w:w="252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rPr>
                <w:u w:val="single"/>
              </w:rPr>
              <w:t>Delayed adverse reactions (DAR)</w:t>
            </w:r>
            <w:r w:rsidRPr="00B85698">
              <w:t>:</w:t>
            </w:r>
          </w:p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37 (14.3%) iohexol, 7 (2.5%) control; p&lt;0.0001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Skin rashes or itching</w:t>
            </w:r>
            <w:r w:rsidRPr="00B85698">
              <w:t>:</w:t>
            </w:r>
          </w:p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Iohexol: 13 (5.0%), Control: 2 (0.71%); P=0.00273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Patients with cutaneous DARs</w:t>
            </w:r>
            <w:r w:rsidRPr="00B85698">
              <w:t>:</w:t>
            </w:r>
          </w:p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Iohexol: 26 (10.1%), Control: 2 (0.71%); P&lt;0.0001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Skin redness (p=0.0055), skin swelling (p=0.0117) and headache (p=0.0246) also occurred statistically more frequently in the iohexol group.</w:t>
            </w:r>
          </w:p>
        </w:tc>
        <w:tc>
          <w:tcPr>
            <w:tcW w:w="252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rPr>
                <w:u w:val="single"/>
              </w:rPr>
              <w:t>Setting</w:t>
            </w:r>
            <w:r w:rsidRPr="00B85698">
              <w:t>: Tertiary academic medical center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Timing</w:t>
            </w:r>
            <w:r w:rsidRPr="00B85698">
              <w:t>: 2006 to 2008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CM</w:t>
            </w:r>
            <w:r w:rsidRPr="00B85698">
              <w:t>: iohexol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“This study substantiates a frequent occurrence of DARs at contrast-enhanced CT compared with that in control subjects.”</w:t>
            </w:r>
          </w:p>
        </w:tc>
      </w:tr>
      <w:tr w:rsidR="001F0F53" w:rsidRPr="00B85698" w:rsidTr="00AD7791">
        <w:trPr>
          <w:cantSplit/>
          <w:trHeight w:val="20"/>
          <w:jc w:val="center"/>
        </w:trPr>
        <w:tc>
          <w:tcPr>
            <w:tcW w:w="1708" w:type="dxa"/>
          </w:tcPr>
          <w:p w:rsidR="001F0F53" w:rsidRPr="00B85698" w:rsidRDefault="001F0F53" w:rsidP="00960452">
            <w:pPr>
              <w:pStyle w:val="TableText"/>
              <w:pageBreakBefore/>
              <w:spacing w:before="28" w:after="14"/>
            </w:pPr>
            <w:r w:rsidRPr="00B85698">
              <w:lastRenderedPageBreak/>
              <w:t>Ozbulbul et al. 2010</w:t>
            </w:r>
            <w:r w:rsidRPr="00215F35">
              <w:rPr>
                <w:vertAlign w:val="superscript"/>
              </w:rPr>
              <w:t>139</w:t>
            </w:r>
          </w:p>
        </w:tc>
        <w:tc>
          <w:tcPr>
            <w:tcW w:w="1350" w:type="dxa"/>
          </w:tcPr>
          <w:p w:rsidR="001F0F53" w:rsidRPr="00B85698" w:rsidRDefault="001F0F53" w:rsidP="00960452">
            <w:pPr>
              <w:pStyle w:val="TableText"/>
              <w:pageBreakBefore/>
              <w:spacing w:before="28" w:after="14"/>
            </w:pPr>
            <w:r w:rsidRPr="00B85698">
              <w:t>Prospective</w:t>
            </w:r>
          </w:p>
        </w:tc>
        <w:tc>
          <w:tcPr>
            <w:tcW w:w="1151" w:type="dxa"/>
          </w:tcPr>
          <w:p w:rsidR="001F0F53" w:rsidRPr="00B85698" w:rsidRDefault="001F0F53" w:rsidP="00960452">
            <w:pPr>
              <w:pStyle w:val="TableText"/>
              <w:pageBreakBefore/>
              <w:spacing w:before="28" w:after="14"/>
            </w:pPr>
            <w:r w:rsidRPr="00B85698">
              <w:t>52</w:t>
            </w:r>
          </w:p>
          <w:p w:rsidR="001F0F53" w:rsidRPr="00B85698" w:rsidRDefault="001F0F53" w:rsidP="00960452">
            <w:pPr>
              <w:pStyle w:val="TableText"/>
              <w:pageBreakBefore/>
              <w:spacing w:before="86" w:after="14"/>
            </w:pPr>
            <w:r w:rsidRPr="00B85698">
              <w:t>MDCT coronary</w:t>
            </w:r>
          </w:p>
          <w:p w:rsidR="001F0F53" w:rsidRPr="00B85698" w:rsidRDefault="001F0F53" w:rsidP="00960452">
            <w:pPr>
              <w:pStyle w:val="TableText"/>
              <w:pageBreakBefore/>
              <w:spacing w:before="86" w:after="14"/>
            </w:pPr>
            <w:r w:rsidRPr="00B85698">
              <w:t>angio</w:t>
            </w:r>
            <w:r w:rsidRPr="00B85698">
              <w:softHyphen/>
              <w:t>graphy</w:t>
            </w:r>
          </w:p>
        </w:tc>
        <w:tc>
          <w:tcPr>
            <w:tcW w:w="1684" w:type="dxa"/>
          </w:tcPr>
          <w:p w:rsidR="001F0F53" w:rsidRPr="00B85698" w:rsidRDefault="001F0F53" w:rsidP="00960452">
            <w:pPr>
              <w:pStyle w:val="TableText"/>
              <w:pageBreakBefore/>
              <w:spacing w:before="28" w:after="14"/>
            </w:pPr>
            <w:r w:rsidRPr="00B85698">
              <w:t>Suspected coronary artery disease</w:t>
            </w:r>
          </w:p>
        </w:tc>
        <w:tc>
          <w:tcPr>
            <w:tcW w:w="1260" w:type="dxa"/>
          </w:tcPr>
          <w:p w:rsidR="001F0F53" w:rsidRPr="00B85698" w:rsidRDefault="001F0F53" w:rsidP="00960452">
            <w:pPr>
              <w:pStyle w:val="TableText"/>
              <w:pageBreakBefore/>
              <w:spacing w:before="28" w:after="14"/>
            </w:pPr>
            <w:r w:rsidRPr="00B85698">
              <w:t>56.4±13.6 iodixanol (N=28)</w:t>
            </w:r>
          </w:p>
          <w:p w:rsidR="001F0F53" w:rsidRPr="00B85698" w:rsidRDefault="001F0F53" w:rsidP="00960452">
            <w:pPr>
              <w:pStyle w:val="TableText"/>
              <w:pageBreakBefore/>
              <w:spacing w:before="86" w:after="14"/>
            </w:pPr>
            <w:r w:rsidRPr="00B85698">
              <w:t>54.1±17.1 iopamidol</w:t>
            </w:r>
          </w:p>
          <w:p w:rsidR="001F0F53" w:rsidRPr="00B85698" w:rsidRDefault="001F0F53" w:rsidP="00960452">
            <w:pPr>
              <w:pStyle w:val="TableText"/>
              <w:pageBreakBefore/>
              <w:spacing w:before="28" w:after="14"/>
            </w:pPr>
            <w:r w:rsidRPr="00B85698">
              <w:t>(N=24)</w:t>
            </w:r>
          </w:p>
        </w:tc>
        <w:tc>
          <w:tcPr>
            <w:tcW w:w="1080" w:type="dxa"/>
          </w:tcPr>
          <w:p w:rsidR="001F0F53" w:rsidRPr="00B85698" w:rsidRDefault="001F0F53" w:rsidP="00960452">
            <w:pPr>
              <w:pStyle w:val="TableText"/>
              <w:pageBreakBefore/>
              <w:spacing w:before="28" w:after="14"/>
            </w:pPr>
            <w:r w:rsidRPr="00B85698">
              <w:t>38</w:t>
            </w:r>
          </w:p>
        </w:tc>
        <w:tc>
          <w:tcPr>
            <w:tcW w:w="1350" w:type="dxa"/>
          </w:tcPr>
          <w:p w:rsidR="001F0F53" w:rsidRPr="00B85698" w:rsidRDefault="001F0F53" w:rsidP="00960452">
            <w:pPr>
              <w:pStyle w:val="TableText"/>
              <w:pageBreakBefore/>
              <w:spacing w:before="28" w:after="14"/>
            </w:pPr>
            <w:r w:rsidRPr="00B85698">
              <w:t>32 (61.5%)</w:t>
            </w:r>
          </w:p>
        </w:tc>
        <w:tc>
          <w:tcPr>
            <w:tcW w:w="2520" w:type="dxa"/>
          </w:tcPr>
          <w:p w:rsidR="001F0F53" w:rsidRPr="00B85698" w:rsidRDefault="001F0F53" w:rsidP="00960452">
            <w:pPr>
              <w:pStyle w:val="TableText"/>
              <w:pageBreakBefore/>
              <w:spacing w:before="28" w:after="14"/>
              <w:rPr>
                <w:u w:val="single"/>
              </w:rPr>
            </w:pPr>
            <w:r w:rsidRPr="00B85698">
              <w:rPr>
                <w:u w:val="single"/>
              </w:rPr>
              <w:t>Moderate</w:t>
            </w:r>
            <w:r w:rsidRPr="00B85698">
              <w:t>: 32 (61.5%)</w:t>
            </w:r>
          </w:p>
          <w:p w:rsidR="001F0F53" w:rsidRPr="00B85698" w:rsidRDefault="001F0F53" w:rsidP="00960452">
            <w:pPr>
              <w:pStyle w:val="TableText"/>
              <w:pageBreakBefore/>
              <w:spacing w:before="86" w:after="14"/>
            </w:pPr>
            <w:r w:rsidRPr="00B85698">
              <w:rPr>
                <w:u w:val="single"/>
              </w:rPr>
              <w:t>Intense injection-related heat</w:t>
            </w:r>
            <w:r w:rsidRPr="00B85698">
              <w:t>:</w:t>
            </w:r>
          </w:p>
          <w:p w:rsidR="001F0F53" w:rsidRPr="00B85698" w:rsidRDefault="001F0F53" w:rsidP="00960452">
            <w:pPr>
              <w:pStyle w:val="TableText"/>
              <w:pageBreakBefore/>
              <w:spacing w:before="28" w:after="14"/>
            </w:pPr>
            <w:r w:rsidRPr="00B85698">
              <w:t>Iodixanol: 11 (39.3%)</w:t>
            </w:r>
            <w:r w:rsidRPr="00B85698">
              <w:br/>
              <w:t>Iopamidol: 20 (83.3%)</w:t>
            </w:r>
          </w:p>
          <w:p w:rsidR="001F0F53" w:rsidRPr="00B85698" w:rsidRDefault="001F0F53" w:rsidP="00960452">
            <w:pPr>
              <w:pStyle w:val="TableText"/>
              <w:pageBreakBefore/>
              <w:spacing w:before="86" w:after="14"/>
            </w:pPr>
            <w:r w:rsidRPr="00B85698">
              <w:rPr>
                <w:u w:val="single"/>
              </w:rPr>
              <w:t>Nausea</w:t>
            </w:r>
            <w:r w:rsidRPr="00B85698">
              <w:t>:</w:t>
            </w:r>
            <w:r w:rsidRPr="00B85698">
              <w:br/>
              <w:t>Iodixanol: 1 (3.5%), Iopamidol: 6 (25%)</w:t>
            </w:r>
          </w:p>
          <w:p w:rsidR="001F0F53" w:rsidRPr="00B85698" w:rsidRDefault="001F0F53" w:rsidP="00960452">
            <w:pPr>
              <w:pStyle w:val="TableText"/>
              <w:pageBreakBefore/>
              <w:spacing w:before="86" w:after="14"/>
            </w:pPr>
            <w:r w:rsidRPr="00B85698">
              <w:rPr>
                <w:u w:val="single"/>
              </w:rPr>
              <w:t>Dizziness</w:t>
            </w:r>
            <w:r w:rsidRPr="00B85698">
              <w:t>:</w:t>
            </w:r>
            <w:r w:rsidRPr="00B85698">
              <w:br/>
              <w:t xml:space="preserve">Iodixanol: 0, </w:t>
            </w:r>
            <w:r w:rsidRPr="00B85698">
              <w:br/>
              <w:t>Iopamidol: 3 (12.5%)</w:t>
            </w:r>
          </w:p>
        </w:tc>
        <w:tc>
          <w:tcPr>
            <w:tcW w:w="2520" w:type="dxa"/>
          </w:tcPr>
          <w:p w:rsidR="001F0F53" w:rsidRPr="00B85698" w:rsidRDefault="001F0F53" w:rsidP="00960452">
            <w:pPr>
              <w:pStyle w:val="TableText"/>
              <w:pageBreakBefore/>
              <w:spacing w:before="28" w:after="14"/>
            </w:pPr>
            <w:r w:rsidRPr="00B85698">
              <w:rPr>
                <w:u w:val="single"/>
              </w:rPr>
              <w:t>Setting</w:t>
            </w:r>
            <w:r w:rsidRPr="00B85698">
              <w:t>: radiology department, Turkey</w:t>
            </w:r>
          </w:p>
          <w:p w:rsidR="001F0F53" w:rsidRPr="00B85698" w:rsidRDefault="001F0F53" w:rsidP="00960452">
            <w:pPr>
              <w:pStyle w:val="TableText"/>
              <w:pageBreakBefore/>
              <w:spacing w:before="86" w:after="14"/>
            </w:pPr>
            <w:r w:rsidRPr="00B85698">
              <w:rPr>
                <w:u w:val="single"/>
              </w:rPr>
              <w:t>Timing</w:t>
            </w:r>
            <w:r w:rsidRPr="00B85698">
              <w:t>: Jan. 2008 to June 2008</w:t>
            </w:r>
          </w:p>
          <w:p w:rsidR="001F0F53" w:rsidRPr="00B85698" w:rsidRDefault="001F0F53" w:rsidP="00960452">
            <w:pPr>
              <w:pStyle w:val="TableText"/>
              <w:pageBreakBefore/>
              <w:spacing w:before="86" w:after="14"/>
            </w:pPr>
            <w:r w:rsidRPr="00B85698">
              <w:rPr>
                <w:u w:val="single"/>
              </w:rPr>
              <w:t>CM</w:t>
            </w:r>
            <w:r w:rsidRPr="00B85698">
              <w:t>: iopamidol 370 (a low-osmolar) vs. iodixanol 320 (an iso-osmolar)</w:t>
            </w:r>
          </w:p>
          <w:p w:rsidR="001F0F53" w:rsidRPr="00B85698" w:rsidRDefault="001F0F53" w:rsidP="00960452">
            <w:pPr>
              <w:pStyle w:val="TableText"/>
              <w:pageBreakBefore/>
              <w:spacing w:before="86" w:after="14"/>
            </w:pPr>
            <w:r w:rsidRPr="00B85698">
              <w:t>“Iodixanol 320 causes less frequent sensation of heat on intravenous injection. This means more comfort and success in following the breath-hold commands of patients during scanning.”</w:t>
            </w:r>
          </w:p>
        </w:tc>
      </w:tr>
      <w:tr w:rsidR="001F0F53" w:rsidRPr="00B85698" w:rsidTr="00AD7791">
        <w:trPr>
          <w:cantSplit/>
          <w:trHeight w:val="20"/>
          <w:jc w:val="center"/>
        </w:trPr>
        <w:tc>
          <w:tcPr>
            <w:tcW w:w="1708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Shah-Patel et al. 2009</w:t>
            </w:r>
            <w:r w:rsidRPr="00215F35">
              <w:rPr>
                <w:vertAlign w:val="superscript"/>
              </w:rPr>
              <w:t>140</w:t>
            </w:r>
          </w:p>
        </w:tc>
        <w:tc>
          <w:tcPr>
            <w:tcW w:w="135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Retro</w:t>
            </w:r>
            <w:r w:rsidRPr="00B85698">
              <w:softHyphen/>
              <w:t>spective chart review</w:t>
            </w:r>
          </w:p>
        </w:tc>
        <w:tc>
          <w:tcPr>
            <w:tcW w:w="1151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106,800 total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33,321 CT</w:t>
            </w:r>
          </w:p>
        </w:tc>
        <w:tc>
          <w:tcPr>
            <w:tcW w:w="1684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NR</w:t>
            </w:r>
          </w:p>
        </w:tc>
        <w:tc>
          <w:tcPr>
            <w:tcW w:w="126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 xml:space="preserve">Range: </w:t>
            </w:r>
            <w:r w:rsidRPr="00B85698">
              <w:br/>
              <w:t>18–86</w:t>
            </w:r>
          </w:p>
        </w:tc>
        <w:tc>
          <w:tcPr>
            <w:tcW w:w="108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NR</w:t>
            </w:r>
          </w:p>
        </w:tc>
        <w:tc>
          <w:tcPr>
            <w:tcW w:w="135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35 (0.10%)</w:t>
            </w:r>
          </w:p>
        </w:tc>
        <w:tc>
          <w:tcPr>
            <w:tcW w:w="2520" w:type="dxa"/>
          </w:tcPr>
          <w:p w:rsidR="001F0F53" w:rsidRPr="00B85698" w:rsidRDefault="001F0F53" w:rsidP="00AD7791">
            <w:pPr>
              <w:pStyle w:val="TableText"/>
              <w:spacing w:before="28" w:after="14"/>
              <w:rPr>
                <w:u w:val="single"/>
              </w:rPr>
            </w:pPr>
            <w:r w:rsidRPr="00B85698">
              <w:rPr>
                <w:u w:val="single"/>
              </w:rPr>
              <w:t>Mild</w:t>
            </w:r>
            <w:r w:rsidRPr="00B85698">
              <w:t>: 17</w:t>
            </w:r>
          </w:p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Itching or hives, most often related to iodine-based intravenous contrast injections</w:t>
            </w:r>
          </w:p>
          <w:p w:rsidR="001F0F53" w:rsidRPr="00B85698" w:rsidRDefault="001F0F53" w:rsidP="00AD7791">
            <w:pPr>
              <w:pStyle w:val="TableText"/>
              <w:spacing w:before="28" w:after="14"/>
              <w:rPr>
                <w:u w:val="single"/>
              </w:rPr>
            </w:pPr>
            <w:r w:rsidRPr="00B85698">
              <w:rPr>
                <w:u w:val="single"/>
              </w:rPr>
              <w:t>Moderate</w:t>
            </w:r>
            <w:r w:rsidRPr="00B85698">
              <w:t>: 7</w:t>
            </w:r>
          </w:p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 xml:space="preserve">Falls: 3, </w:t>
            </w:r>
            <w:r w:rsidRPr="00B85698">
              <w:br/>
              <w:t>Nasal congestion: 1, Nausea: 2</w:t>
            </w:r>
            <w:r w:rsidRPr="00B85698">
              <w:br/>
              <w:t>Dizziness: 1</w:t>
            </w:r>
          </w:p>
          <w:p w:rsidR="001F0F53" w:rsidRPr="00B85698" w:rsidRDefault="001F0F53" w:rsidP="00AD7791">
            <w:pPr>
              <w:pStyle w:val="TableText"/>
              <w:spacing w:before="28" w:after="14"/>
              <w:rPr>
                <w:u w:val="single"/>
              </w:rPr>
            </w:pPr>
            <w:r w:rsidRPr="00B85698">
              <w:rPr>
                <w:u w:val="single"/>
              </w:rPr>
              <w:t>Severe</w:t>
            </w:r>
            <w:r w:rsidRPr="00B85698">
              <w:t>: 5</w:t>
            </w:r>
          </w:p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Shortness of breath after IV injection: 5</w:t>
            </w:r>
          </w:p>
          <w:p w:rsidR="001F0F53" w:rsidRPr="00B85698" w:rsidRDefault="001F0F53" w:rsidP="00AD7791">
            <w:pPr>
              <w:pStyle w:val="TableText"/>
              <w:spacing w:before="28" w:after="14"/>
              <w:rPr>
                <w:u w:val="single"/>
              </w:rPr>
            </w:pPr>
            <w:r w:rsidRPr="00B85698">
              <w:rPr>
                <w:u w:val="single"/>
              </w:rPr>
              <w:t>Others</w:t>
            </w:r>
            <w:r w:rsidRPr="00B85698">
              <w:t>: 6</w:t>
            </w:r>
          </w:p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 xml:space="preserve">Infiltrations at IV site: 5, </w:t>
            </w:r>
            <w:r w:rsidRPr="00B85698">
              <w:br/>
              <w:t>Hematoma at IV site: 1</w:t>
            </w:r>
          </w:p>
        </w:tc>
        <w:tc>
          <w:tcPr>
            <w:tcW w:w="252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rPr>
                <w:u w:val="single"/>
              </w:rPr>
              <w:t>Setting</w:t>
            </w:r>
            <w:r w:rsidRPr="00B85698">
              <w:t>: Outpatient radiology center in New York, NY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Timing</w:t>
            </w:r>
            <w:r w:rsidRPr="00B85698">
              <w:t>: over 4 years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CM</w:t>
            </w:r>
            <w:r w:rsidRPr="00B85698">
              <w:t>: iopromide (Ultravist 300)</w:t>
            </w:r>
          </w:p>
        </w:tc>
      </w:tr>
      <w:tr w:rsidR="001F0F53" w:rsidRPr="00B85698" w:rsidTr="00AD7791">
        <w:trPr>
          <w:cantSplit/>
          <w:trHeight w:val="20"/>
          <w:jc w:val="center"/>
        </w:trPr>
        <w:tc>
          <w:tcPr>
            <w:tcW w:w="1708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lastRenderedPageBreak/>
              <w:t xml:space="preserve">Shie et al. </w:t>
            </w:r>
            <w:r>
              <w:br/>
            </w:r>
            <w:r w:rsidRPr="00B85698">
              <w:t>2008</w:t>
            </w:r>
            <w:r w:rsidRPr="00215F35">
              <w:rPr>
                <w:vertAlign w:val="superscript"/>
              </w:rPr>
              <w:t>141</w:t>
            </w:r>
          </w:p>
        </w:tc>
        <w:tc>
          <w:tcPr>
            <w:tcW w:w="135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Prospective</w:t>
            </w:r>
          </w:p>
        </w:tc>
        <w:tc>
          <w:tcPr>
            <w:tcW w:w="1151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8,776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2,766 Iothala</w:t>
            </w:r>
            <w:r w:rsidRPr="00B85698">
              <w:softHyphen/>
              <w:t>mate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6,010 Iopromide</w:t>
            </w:r>
          </w:p>
        </w:tc>
        <w:tc>
          <w:tcPr>
            <w:tcW w:w="1684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Hypertension,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diabetes mellitus,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 xml:space="preserve">asthma, 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renal disease,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heart disease,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 xml:space="preserve">liver disease, autoimmune disease, and 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history of allergy</w:t>
            </w:r>
          </w:p>
        </w:tc>
        <w:tc>
          <w:tcPr>
            <w:tcW w:w="126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57.0±14.9</w:t>
            </w:r>
            <w:r w:rsidRPr="00B85698">
              <w:br/>
              <w:t>Iothala</w:t>
            </w:r>
            <w:r w:rsidRPr="00B85698">
              <w:softHyphen/>
              <w:t>mate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58.2±16.0</w:t>
            </w:r>
          </w:p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Iopromide</w:t>
            </w:r>
          </w:p>
        </w:tc>
        <w:tc>
          <w:tcPr>
            <w:tcW w:w="108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NR</w:t>
            </w:r>
          </w:p>
        </w:tc>
        <w:tc>
          <w:tcPr>
            <w:tcW w:w="135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127 (1.45%) immediate ADRs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51 (1.84%)</w:t>
            </w:r>
            <w:r w:rsidRPr="00B85698">
              <w:br/>
              <w:t>Iothalamate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76 (1.26%)</w:t>
            </w:r>
            <w:r w:rsidRPr="00B85698">
              <w:br/>
              <w:t>Iopromide</w:t>
            </w:r>
          </w:p>
        </w:tc>
        <w:tc>
          <w:tcPr>
            <w:tcW w:w="252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rPr>
                <w:u w:val="single"/>
              </w:rPr>
              <w:t>Grade I (mild)</w:t>
            </w:r>
            <w:r w:rsidRPr="00B85698">
              <w:t>:</w:t>
            </w:r>
          </w:p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21 Iothalamate, 27 Iopromide; p=0.09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Grade II (moderate)</w:t>
            </w:r>
            <w:r w:rsidRPr="00B85698">
              <w:t>:</w:t>
            </w:r>
          </w:p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30 Iothalamate, 48 Iopromide; p=0.22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Grade III (severe)</w:t>
            </w:r>
            <w:r w:rsidRPr="00B85698">
              <w:t>:</w:t>
            </w:r>
          </w:p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 xml:space="preserve">0 Iothalamate, </w:t>
            </w:r>
            <w:r w:rsidRPr="00B85698">
              <w:br/>
              <w:t>1 case of Cyanosis, severe laryngeal edema occurred in Iopromide group; p=1.00</w:t>
            </w:r>
          </w:p>
        </w:tc>
        <w:tc>
          <w:tcPr>
            <w:tcW w:w="2520" w:type="dxa"/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rPr>
                <w:u w:val="single"/>
              </w:rPr>
              <w:t>Setting</w:t>
            </w:r>
            <w:r w:rsidRPr="00B85698">
              <w:t>: hospital in Taiwan, Republic of China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Timing</w:t>
            </w:r>
            <w:r w:rsidRPr="00B85698">
              <w:t>: May 2004 to Dec. 2004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CM</w:t>
            </w:r>
            <w:r w:rsidRPr="00B85698">
              <w:t>: iothalamate meglumine vs iopromide</w:t>
            </w:r>
          </w:p>
        </w:tc>
      </w:tr>
      <w:tr w:rsidR="001F0F53" w:rsidRPr="00B85698" w:rsidTr="00AD7791">
        <w:trPr>
          <w:cantSplit/>
          <w:trHeight w:val="20"/>
          <w:jc w:val="center"/>
        </w:trPr>
        <w:tc>
          <w:tcPr>
            <w:tcW w:w="1708" w:type="dxa"/>
            <w:tcBorders>
              <w:bottom w:val="single" w:sz="4" w:space="0" w:color="auto"/>
            </w:tcBorders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Weisbord et al. 2008</w:t>
            </w:r>
            <w:r w:rsidRPr="00215F35">
              <w:rPr>
                <w:vertAlign w:val="superscript"/>
              </w:rPr>
              <w:t>142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Prospective cohort of patients scheduled for CT with IV radiocontrast, coronary angiography, or noncoronary angiography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660 total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421 CT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At increased risk for contrast-induced acute kidney injury (CIAKI)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Comorbidities</w:t>
            </w:r>
            <w:r w:rsidRPr="00B85698">
              <w:t>: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 xml:space="preserve">41 diabetes mellitus, 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14 liver disease,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 xml:space="preserve">16 congestive heart failure, 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 xml:space="preserve">13 peripheral vascular disease, and 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11 cerebrovascular disease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69±10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96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 xml:space="preserve">See incidence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rPr>
                <w:u w:val="single"/>
              </w:rPr>
              <w:t>CIAKI</w:t>
            </w:r>
            <w:r w:rsidRPr="00B85698">
              <w:t>:</w:t>
            </w:r>
          </w:p>
          <w:p w:rsidR="001F0F53" w:rsidRPr="00B85698" w:rsidRDefault="001F0F53" w:rsidP="00AD7791">
            <w:pPr>
              <w:pStyle w:val="TableText"/>
              <w:spacing w:before="86" w:after="14"/>
              <w:rPr>
                <w:u w:val="single"/>
              </w:rPr>
            </w:pPr>
            <w:r w:rsidRPr="00B85698">
              <w:rPr>
                <w:u w:val="single"/>
              </w:rPr>
              <w:t>Incidence of CIAKI based on relative increases in SCr levels</w:t>
            </w:r>
            <w:r w:rsidRPr="00B85698">
              <w:t>:</w:t>
            </w:r>
          </w:p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≥25: 6.5</w:t>
            </w:r>
            <w:r w:rsidRPr="00B85698">
              <w:br/>
              <w:t>≥50: 0.5</w:t>
            </w:r>
            <w:r w:rsidRPr="00B85698">
              <w:br/>
              <w:t>≥100: 0.0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Incidence based on absolute changes in SCr levels:</w:t>
            </w:r>
          </w:p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≥0.25 mg/dL: 10.9</w:t>
            </w:r>
            <w:r w:rsidRPr="00B85698">
              <w:br/>
              <w:t>≥0.5 mg/dL: 3.5</w:t>
            </w:r>
            <w:r w:rsidRPr="00B85698">
              <w:br/>
              <w:t>≥1.0 mg/dL: 0.3</w:t>
            </w:r>
          </w:p>
          <w:p w:rsidR="001F0F53" w:rsidRPr="00B85698" w:rsidRDefault="001F0F53" w:rsidP="00AD7791">
            <w:pPr>
              <w:pStyle w:val="TableText"/>
              <w:spacing w:before="86" w:after="14"/>
              <w:rPr>
                <w:u w:val="single"/>
              </w:rPr>
            </w:pPr>
            <w:r w:rsidRPr="00B85698">
              <w:rPr>
                <w:u w:val="single"/>
              </w:rPr>
              <w:t>Serious</w:t>
            </w:r>
            <w:r w:rsidRPr="00B85698">
              <w:t>: 10</w:t>
            </w:r>
          </w:p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Death 30 days post-CT: 10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rPr>
                <w:u w:val="single"/>
              </w:rPr>
              <w:t>Setting</w:t>
            </w:r>
            <w:r w:rsidRPr="00B85698">
              <w:t>: Veterans Affairs Pittsburgh Health System; 25 inpatient, 70 ambulatory, 5 long-term care CT procedures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Timing</w:t>
            </w:r>
            <w:r w:rsidRPr="00B85698">
              <w:t>: Feb. 2005 to July 31, 2006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CM</w:t>
            </w:r>
            <w:r w:rsidRPr="00B85698">
              <w:t>: 14% low-osmolar contrast (Iohexol), 86% iso-osmolar contrast (Iodixanol)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Of the 3 modalities, the incidence of CIAKI was lowest with CT.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t>“CIAKI was not independently associated with hospital admission or death.”</w:t>
            </w:r>
          </w:p>
        </w:tc>
      </w:tr>
      <w:tr w:rsidR="001F0F53" w:rsidRPr="00B85698" w:rsidTr="00AD7791">
        <w:trPr>
          <w:cantSplit/>
          <w:trHeight w:val="20"/>
          <w:jc w:val="center"/>
        </w:trPr>
        <w:tc>
          <w:tcPr>
            <w:tcW w:w="1708" w:type="dxa"/>
            <w:tcBorders>
              <w:bottom w:val="single" w:sz="12" w:space="0" w:color="auto"/>
            </w:tcBorders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lastRenderedPageBreak/>
              <w:t xml:space="preserve">Yang et al. </w:t>
            </w:r>
            <w:r>
              <w:br/>
            </w:r>
            <w:r w:rsidRPr="00B85698">
              <w:t>2008</w:t>
            </w:r>
            <w:r w:rsidRPr="00215F35">
              <w:rPr>
                <w:vertAlign w:val="superscript"/>
              </w:rPr>
              <w:t>143</w:t>
            </w: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Prospective</w:t>
            </w:r>
          </w:p>
        </w:tc>
        <w:tc>
          <w:tcPr>
            <w:tcW w:w="1151" w:type="dxa"/>
            <w:tcBorders>
              <w:bottom w:val="single" w:sz="12" w:space="0" w:color="auto"/>
            </w:tcBorders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67</w:t>
            </w:r>
          </w:p>
        </w:tc>
        <w:tc>
          <w:tcPr>
            <w:tcW w:w="1684" w:type="dxa"/>
            <w:tcBorders>
              <w:bottom w:val="single" w:sz="12" w:space="0" w:color="auto"/>
            </w:tcBorders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NR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48±13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56.7</w:t>
            </w: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t>125 reports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rPr>
                <w:u w:val="single"/>
              </w:rPr>
              <w:t>Palpitation</w:t>
            </w:r>
            <w:r w:rsidRPr="00B85698">
              <w:t xml:space="preserve">: </w:t>
            </w:r>
            <w:r w:rsidRPr="00B85698">
              <w:br/>
              <w:t xml:space="preserve">17 mild, </w:t>
            </w:r>
            <w:r w:rsidRPr="00B85698">
              <w:br/>
              <w:t xml:space="preserve">4 moderate, </w:t>
            </w:r>
            <w:r w:rsidRPr="00B85698">
              <w:br/>
              <w:t>1 severe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Chest tightness</w:t>
            </w:r>
            <w:r w:rsidRPr="00B85698">
              <w:t>:</w:t>
            </w:r>
            <w:r w:rsidRPr="00B85698">
              <w:br/>
              <w:t xml:space="preserve">12 mild, </w:t>
            </w:r>
            <w:r w:rsidRPr="00B85698">
              <w:br/>
              <w:t xml:space="preserve">2 moderate, </w:t>
            </w:r>
            <w:r w:rsidRPr="00B85698">
              <w:br/>
              <w:t>1 severe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Dyspnea</w:t>
            </w:r>
            <w:r w:rsidRPr="00B85698">
              <w:t xml:space="preserve">: </w:t>
            </w:r>
            <w:r w:rsidRPr="00B85698">
              <w:br/>
              <w:t xml:space="preserve">10 mild, </w:t>
            </w:r>
            <w:r w:rsidRPr="00B85698">
              <w:br/>
              <w:t xml:space="preserve">2 moderate, </w:t>
            </w:r>
            <w:r w:rsidRPr="00B85698">
              <w:br/>
              <w:t>1 severe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Torridness</w:t>
            </w:r>
            <w:r w:rsidRPr="00B85698">
              <w:t>: 64 mild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Nausea/vomiting</w:t>
            </w:r>
            <w:r w:rsidRPr="00B85698">
              <w:t>: 11 mild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1F0F53" w:rsidRPr="00B85698" w:rsidRDefault="001F0F53" w:rsidP="00AD7791">
            <w:pPr>
              <w:pStyle w:val="TableText"/>
              <w:spacing w:before="28" w:after="14"/>
            </w:pPr>
            <w:r w:rsidRPr="00B85698">
              <w:rPr>
                <w:u w:val="single"/>
              </w:rPr>
              <w:t>Setting</w:t>
            </w:r>
            <w:r w:rsidRPr="00B85698">
              <w:t>: hospital in Taiwan, Republic of China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Timing</w:t>
            </w:r>
            <w:r w:rsidRPr="00B85698">
              <w:t>: December 2005 to June 2006</w:t>
            </w:r>
          </w:p>
          <w:p w:rsidR="001F0F53" w:rsidRPr="00B85698" w:rsidRDefault="001F0F53" w:rsidP="00AD7791">
            <w:pPr>
              <w:pStyle w:val="TableText"/>
              <w:spacing w:before="86" w:after="14"/>
            </w:pPr>
            <w:r w:rsidRPr="00B85698">
              <w:rPr>
                <w:u w:val="single"/>
              </w:rPr>
              <w:t>CM</w:t>
            </w:r>
            <w:r w:rsidRPr="00B85698">
              <w:t>: ionic iothalamate meglumine</w:t>
            </w:r>
          </w:p>
        </w:tc>
      </w:tr>
    </w:tbl>
    <w:p w:rsidR="00AD7791" w:rsidRDefault="00AD7791" w:rsidP="00AD7791">
      <w:pPr>
        <w:pStyle w:val="TableNote"/>
        <w:spacing w:after="0"/>
        <w:ind w:left="-810"/>
      </w:pPr>
      <w:r>
        <w:t>CECT=C</w:t>
      </w:r>
      <w:r w:rsidRPr="003B296A">
        <w:t>ontrast-enhanced computed tomography</w:t>
      </w:r>
      <w:r>
        <w:t>; CIN=c</w:t>
      </w:r>
      <w:r w:rsidRPr="003B296A">
        <w:t>ontrast-induced neuropathy</w:t>
      </w:r>
      <w:r>
        <w:t>; CPR=c</w:t>
      </w:r>
      <w:r w:rsidRPr="003B296A">
        <w:t>ardiopulmonary resuscitation</w:t>
      </w:r>
      <w:r>
        <w:t>; CTA=CT angiography; CTPA=</w:t>
      </w:r>
      <w:r w:rsidRPr="003B296A">
        <w:t>CECT of the pulmonary arteries</w:t>
      </w:r>
      <w:r>
        <w:t>; NR=n</w:t>
      </w:r>
      <w:r w:rsidRPr="003B296A">
        <w:t>ot reported</w:t>
      </w:r>
      <w:r>
        <w:t>; PE=p</w:t>
      </w:r>
      <w:r w:rsidRPr="003B296A">
        <w:t>ulmonary embolism</w:t>
      </w:r>
      <w:r>
        <w:t>; SCr=s</w:t>
      </w:r>
      <w:r w:rsidRPr="003B296A">
        <w:t>erum creatinine</w:t>
      </w:r>
      <w:r>
        <w:t>.</w:t>
      </w:r>
    </w:p>
    <w:sectPr w:rsidR="00AD7791" w:rsidSect="00192FCD">
      <w:footerReference w:type="default" r:id="rId11"/>
      <w:footerReference w:type="first" r:id="rId12"/>
      <w:pgSz w:w="15840" w:h="12240" w:orient="landscape" w:code="1"/>
      <w:pgMar w:top="1440" w:right="1440" w:bottom="1440" w:left="1440" w:header="864" w:footer="720" w:gutter="0"/>
      <w:pgNumType w:start="73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6ECF4" w15:done="0"/>
  <w15:commentEx w15:paraId="7B3B4738" w15:paraIdParent="7B16ECF4" w15:done="0"/>
  <w15:commentEx w15:paraId="1041B079" w15:done="0"/>
  <w15:commentEx w15:paraId="77A3C75A" w15:paraIdParent="1041B079" w15:done="0"/>
  <w15:commentEx w15:paraId="3DEA9451" w15:done="0"/>
  <w15:commentEx w15:paraId="08B29BC2" w15:done="0"/>
  <w15:commentEx w15:paraId="1C1CF847" w15:paraIdParent="08B29BC2" w15:done="0"/>
  <w15:commentEx w15:paraId="6F47C713" w15:done="0"/>
  <w15:commentEx w15:paraId="65B32EBF" w15:paraIdParent="6F47C713" w15:done="0"/>
  <w15:commentEx w15:paraId="1AC8BDAD" w15:done="0"/>
  <w15:commentEx w15:paraId="5F2DD2B6" w15:paraIdParent="1AC8BDAD" w15:done="0"/>
  <w15:commentEx w15:paraId="73A33693" w15:done="0"/>
  <w15:commentEx w15:paraId="6566D239" w15:done="0"/>
  <w15:commentEx w15:paraId="61EFD088" w15:paraIdParent="6566D239" w15:done="0"/>
  <w15:commentEx w15:paraId="4FA06205" w15:done="0"/>
  <w15:commentEx w15:paraId="311B2450" w15:paraIdParent="4FA06205" w15:done="0"/>
  <w15:commentEx w15:paraId="0007F750" w15:done="0"/>
  <w15:commentEx w15:paraId="79C70201" w15:paraIdParent="0007F750" w15:done="0"/>
  <w15:commentEx w15:paraId="5E16797D" w15:done="0"/>
  <w15:commentEx w15:paraId="4A98E94E" w15:done="0"/>
  <w15:commentEx w15:paraId="11B39E4F" w15:done="0"/>
  <w15:commentEx w15:paraId="3720C450" w15:done="0"/>
  <w15:commentEx w15:paraId="32FEDDB6" w15:paraIdParent="3720C450" w15:done="0"/>
  <w15:commentEx w15:paraId="1BDD8FE0" w15:done="0"/>
  <w15:commentEx w15:paraId="626E7CB4" w15:paraIdParent="1BDD8FE0" w15:done="0"/>
  <w15:commentEx w15:paraId="09FBE101" w15:done="0"/>
  <w15:commentEx w15:paraId="4EDDFA66" w15:paraIdParent="09FBE101" w15:done="0"/>
  <w15:commentEx w15:paraId="1B37D839" w15:done="0"/>
  <w15:commentEx w15:paraId="04BD9EF9" w15:paraIdParent="1B37D839" w15:done="0"/>
  <w15:commentEx w15:paraId="7F461A05" w15:done="0"/>
  <w15:commentEx w15:paraId="7D56AA5A" w15:paraIdParent="7F461A05" w15:done="0"/>
  <w15:commentEx w15:paraId="45AE8446" w15:done="0"/>
  <w15:commentEx w15:paraId="671863E3" w15:done="0"/>
  <w15:commentEx w15:paraId="36C2A25B" w15:paraIdParent="671863E3" w15:done="0"/>
  <w15:commentEx w15:paraId="13FCD255" w15:done="0"/>
  <w15:commentEx w15:paraId="4E70BC1A" w15:done="0"/>
  <w15:commentEx w15:paraId="7A853E23" w15:done="0"/>
  <w15:commentEx w15:paraId="75E80336" w15:done="0"/>
  <w15:commentEx w15:paraId="43216187" w15:done="0"/>
  <w15:commentEx w15:paraId="2746C47D" w15:paraIdParent="43216187" w15:done="0"/>
  <w15:commentEx w15:paraId="2D1F8B5E" w15:done="0"/>
  <w15:commentEx w15:paraId="00A339AE" w15:paraIdParent="2D1F8B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583" w:rsidRDefault="007F5583">
      <w:r>
        <w:separator/>
      </w:r>
    </w:p>
  </w:endnote>
  <w:endnote w:type="continuationSeparator" w:id="1">
    <w:p w:rsidR="007F5583" w:rsidRDefault="007F5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AA5" w:rsidRDefault="00FF5AA5" w:rsidP="00FF5AA5">
    <w:pPr>
      <w:pStyle w:val="PageNumber"/>
      <w:tabs>
        <w:tab w:val="center" w:pos="6480"/>
        <w:tab w:val="left" w:pos="7356"/>
      </w:tabs>
    </w:pPr>
    <w:r>
      <w:t>C-</w:t>
    </w:r>
    <w:fldSimple w:instr=" PAGE   \* MERGEFORMAT ">
      <w:r w:rsidR="00960452">
        <w:rPr>
          <w:noProof/>
        </w:rPr>
        <w:t>80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AA5" w:rsidRDefault="00FF5AA5" w:rsidP="00FF5AA5">
    <w:pPr>
      <w:pStyle w:val="PageNumber"/>
      <w:tabs>
        <w:tab w:val="center" w:pos="6480"/>
        <w:tab w:val="left" w:pos="7356"/>
      </w:tabs>
    </w:pPr>
    <w:r>
      <w:t>C-</w:t>
    </w:r>
    <w:fldSimple w:instr=" PAGE   \* MERGEFORMAT ">
      <w:r w:rsidR="00960452">
        <w:rPr>
          <w:noProof/>
        </w:rPr>
        <w:t>73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583" w:rsidRDefault="007F5583">
      <w:r>
        <w:separator/>
      </w:r>
    </w:p>
  </w:footnote>
  <w:footnote w:type="continuationSeparator" w:id="1">
    <w:p w:rsidR="007F5583" w:rsidRDefault="007F55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94EE877"/>
    <w:lvl w:ilvl="0">
      <w:start w:val="1"/>
      <w:numFmt w:val="bullet"/>
      <w:lvlText w:val=""/>
      <w:lvlJc w:val="left"/>
      <w:pPr>
        <w:tabs>
          <w:tab w:val="num" w:pos="330"/>
        </w:tabs>
        <w:ind w:left="33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A2724C4"/>
    <w:multiLevelType w:val="multilevel"/>
    <w:tmpl w:val="47D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9B7"/>
    <w:multiLevelType w:val="hybridMultilevel"/>
    <w:tmpl w:val="1F44D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8287D"/>
    <w:multiLevelType w:val="hybridMultilevel"/>
    <w:tmpl w:val="0B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7D5D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0B6F"/>
    <w:multiLevelType w:val="hybridMultilevel"/>
    <w:tmpl w:val="92D8D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F6E4E"/>
    <w:multiLevelType w:val="hybridMultilevel"/>
    <w:tmpl w:val="039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2EF0"/>
    <w:multiLevelType w:val="hybridMultilevel"/>
    <w:tmpl w:val="B91A9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F675E"/>
    <w:multiLevelType w:val="hybridMultilevel"/>
    <w:tmpl w:val="C024B0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55152"/>
    <w:multiLevelType w:val="hybridMultilevel"/>
    <w:tmpl w:val="1144D522"/>
    <w:lvl w:ilvl="0" w:tplc="9C54A916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01EE"/>
    <w:multiLevelType w:val="hybridMultilevel"/>
    <w:tmpl w:val="53FEA4B6"/>
    <w:lvl w:ilvl="0" w:tplc="6B029E1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40B51"/>
    <w:multiLevelType w:val="hybridMultilevel"/>
    <w:tmpl w:val="C10C82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44DC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415C3"/>
    <w:multiLevelType w:val="hybridMultilevel"/>
    <w:tmpl w:val="1426364C"/>
    <w:lvl w:ilvl="0" w:tplc="BAF49D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D131A"/>
    <w:multiLevelType w:val="hybridMultilevel"/>
    <w:tmpl w:val="1ECA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D1E33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726D4"/>
    <w:multiLevelType w:val="hybridMultilevel"/>
    <w:tmpl w:val="B77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57891"/>
    <w:multiLevelType w:val="hybridMultilevel"/>
    <w:tmpl w:val="4F7E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726161"/>
    <w:multiLevelType w:val="hybridMultilevel"/>
    <w:tmpl w:val="18FCD05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B3BDF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7F04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109"/>
    <w:multiLevelType w:val="hybridMultilevel"/>
    <w:tmpl w:val="702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0689"/>
    <w:multiLevelType w:val="hybridMultilevel"/>
    <w:tmpl w:val="E23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53120"/>
    <w:multiLevelType w:val="hybridMultilevel"/>
    <w:tmpl w:val="B68A4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30336"/>
    <w:multiLevelType w:val="hybridMultilevel"/>
    <w:tmpl w:val="DB26DB2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95206"/>
    <w:multiLevelType w:val="hybridMultilevel"/>
    <w:tmpl w:val="F22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00299"/>
    <w:multiLevelType w:val="hybridMultilevel"/>
    <w:tmpl w:val="87D8D932"/>
    <w:lvl w:ilvl="0" w:tplc="A948CE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D1C59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713AF"/>
    <w:multiLevelType w:val="hybridMultilevel"/>
    <w:tmpl w:val="EBFEF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00B96"/>
    <w:multiLevelType w:val="hybridMultilevel"/>
    <w:tmpl w:val="8EAE2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350" w:hanging="360"/>
      </w:pPr>
    </w:lvl>
    <w:lvl w:ilvl="4" w:tplc="A11E958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322F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027E0"/>
    <w:multiLevelType w:val="hybridMultilevel"/>
    <w:tmpl w:val="135E4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D62743"/>
    <w:multiLevelType w:val="hybridMultilevel"/>
    <w:tmpl w:val="ECBC7F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9C9"/>
    <w:multiLevelType w:val="hybridMultilevel"/>
    <w:tmpl w:val="5CEC1E48"/>
    <w:lvl w:ilvl="0" w:tplc="29BA1434">
      <w:start w:val="16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4A4D"/>
    <w:multiLevelType w:val="hybridMultilevel"/>
    <w:tmpl w:val="5DA4E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BF87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2637A"/>
    <w:multiLevelType w:val="hybridMultilevel"/>
    <w:tmpl w:val="27180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1A17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C50FB"/>
    <w:multiLevelType w:val="hybridMultilevel"/>
    <w:tmpl w:val="6AE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84BCD"/>
    <w:multiLevelType w:val="hybridMultilevel"/>
    <w:tmpl w:val="7B50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9"/>
  </w:num>
  <w:num w:numId="4">
    <w:abstractNumId w:val="13"/>
  </w:num>
  <w:num w:numId="5">
    <w:abstractNumId w:val="26"/>
  </w:num>
  <w:num w:numId="6">
    <w:abstractNumId w:val="28"/>
  </w:num>
  <w:num w:numId="7">
    <w:abstractNumId w:val="36"/>
  </w:num>
  <w:num w:numId="8">
    <w:abstractNumId w:val="34"/>
  </w:num>
  <w:num w:numId="9">
    <w:abstractNumId w:val="5"/>
  </w:num>
  <w:num w:numId="10">
    <w:abstractNumId w:val="39"/>
  </w:num>
  <w:num w:numId="11">
    <w:abstractNumId w:val="0"/>
  </w:num>
  <w:num w:numId="12">
    <w:abstractNumId w:val="16"/>
  </w:num>
  <w:num w:numId="13">
    <w:abstractNumId w:val="40"/>
  </w:num>
  <w:num w:numId="14">
    <w:abstractNumId w:val="33"/>
  </w:num>
  <w:num w:numId="15">
    <w:abstractNumId w:val="25"/>
  </w:num>
  <w:num w:numId="16">
    <w:abstractNumId w:val="37"/>
  </w:num>
  <w:num w:numId="17">
    <w:abstractNumId w:val="32"/>
  </w:num>
  <w:num w:numId="18">
    <w:abstractNumId w:val="4"/>
  </w:num>
  <w:num w:numId="19">
    <w:abstractNumId w:val="19"/>
  </w:num>
  <w:num w:numId="20">
    <w:abstractNumId w:val="27"/>
  </w:num>
  <w:num w:numId="21">
    <w:abstractNumId w:val="20"/>
  </w:num>
  <w:num w:numId="22">
    <w:abstractNumId w:val="30"/>
  </w:num>
  <w:num w:numId="23">
    <w:abstractNumId w:val="38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31"/>
  </w:num>
  <w:num w:numId="29">
    <w:abstractNumId w:val="10"/>
  </w:num>
  <w:num w:numId="30">
    <w:abstractNumId w:val="15"/>
  </w:num>
  <w:num w:numId="31">
    <w:abstractNumId w:val="11"/>
  </w:num>
  <w:num w:numId="32">
    <w:abstractNumId w:val="21"/>
  </w:num>
  <w:num w:numId="33">
    <w:abstractNumId w:val="35"/>
  </w:num>
  <w:num w:numId="34">
    <w:abstractNumId w:val="29"/>
  </w:num>
  <w:num w:numId="35">
    <w:abstractNumId w:val="29"/>
  </w:num>
  <w:num w:numId="36">
    <w:abstractNumId w:val="42"/>
  </w:num>
  <w:num w:numId="37">
    <w:abstractNumId w:val="14"/>
  </w:num>
  <w:num w:numId="38">
    <w:abstractNumId w:val="6"/>
  </w:num>
  <w:num w:numId="39">
    <w:abstractNumId w:val="43"/>
  </w:num>
  <w:num w:numId="40">
    <w:abstractNumId w:val="29"/>
  </w:num>
  <w:num w:numId="41">
    <w:abstractNumId w:val="29"/>
  </w:num>
  <w:num w:numId="42">
    <w:abstractNumId w:val="23"/>
  </w:num>
  <w:num w:numId="43">
    <w:abstractNumId w:val="44"/>
  </w:num>
  <w:num w:numId="44">
    <w:abstractNumId w:val="2"/>
  </w:num>
  <w:num w:numId="45">
    <w:abstractNumId w:val="17"/>
  </w:num>
  <w:num w:numId="46">
    <w:abstractNumId w:val="18"/>
  </w:num>
  <w:num w:numId="47">
    <w:abstractNumId w:val="8"/>
  </w:num>
  <w:num w:numId="48">
    <w:abstractNumId w:val="9"/>
  </w:num>
  <w:num w:numId="49">
    <w:abstractNumId w:val="29"/>
  </w:num>
  <w:num w:numId="5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oelles, Karen">
    <w15:presenceInfo w15:providerId="AD" w15:userId="S-1-5-21-1772814635-1742674826-316617838-104302"/>
  </w15:person>
  <w15:person w15:author="Giradi, Gina">
    <w15:presenceInfo w15:providerId="AD" w15:userId="S-1-5-21-1772814635-1742674826-316617838-1637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1021"/>
  <w:stylePaneSortMethod w:val="0000"/>
  <w:defaultTabStop w:val="36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0030_Final_05-08-14&lt;/item&gt;&lt;/Libraries&gt;&lt;/Databases&gt;"/>
  </w:docVars>
  <w:rsids>
    <w:rsidRoot w:val="006F5130"/>
    <w:rsid w:val="000005C9"/>
    <w:rsid w:val="00000633"/>
    <w:rsid w:val="0000087F"/>
    <w:rsid w:val="0000154C"/>
    <w:rsid w:val="00002050"/>
    <w:rsid w:val="00003432"/>
    <w:rsid w:val="00003A54"/>
    <w:rsid w:val="00003CDD"/>
    <w:rsid w:val="00003FE3"/>
    <w:rsid w:val="00004BF9"/>
    <w:rsid w:val="000056BF"/>
    <w:rsid w:val="000075D4"/>
    <w:rsid w:val="00007BC2"/>
    <w:rsid w:val="00007C58"/>
    <w:rsid w:val="000114C0"/>
    <w:rsid w:val="00011CC8"/>
    <w:rsid w:val="00012569"/>
    <w:rsid w:val="000144E4"/>
    <w:rsid w:val="000147AE"/>
    <w:rsid w:val="0001597D"/>
    <w:rsid w:val="00016B0F"/>
    <w:rsid w:val="000176BC"/>
    <w:rsid w:val="00017757"/>
    <w:rsid w:val="00020C57"/>
    <w:rsid w:val="000219B0"/>
    <w:rsid w:val="00022BA7"/>
    <w:rsid w:val="00022E78"/>
    <w:rsid w:val="00023347"/>
    <w:rsid w:val="0002386D"/>
    <w:rsid w:val="00023D0D"/>
    <w:rsid w:val="00023F08"/>
    <w:rsid w:val="00024580"/>
    <w:rsid w:val="000248D0"/>
    <w:rsid w:val="00025BDE"/>
    <w:rsid w:val="00025D25"/>
    <w:rsid w:val="000266D3"/>
    <w:rsid w:val="0002782D"/>
    <w:rsid w:val="00027B32"/>
    <w:rsid w:val="000304D9"/>
    <w:rsid w:val="00030941"/>
    <w:rsid w:val="00030D64"/>
    <w:rsid w:val="00030D96"/>
    <w:rsid w:val="00032024"/>
    <w:rsid w:val="00033A57"/>
    <w:rsid w:val="00034E49"/>
    <w:rsid w:val="0003657F"/>
    <w:rsid w:val="00036E36"/>
    <w:rsid w:val="00037F64"/>
    <w:rsid w:val="000405A3"/>
    <w:rsid w:val="0004165E"/>
    <w:rsid w:val="000416F1"/>
    <w:rsid w:val="0004190F"/>
    <w:rsid w:val="00042590"/>
    <w:rsid w:val="00042793"/>
    <w:rsid w:val="00044088"/>
    <w:rsid w:val="00044682"/>
    <w:rsid w:val="0004514B"/>
    <w:rsid w:val="000453C5"/>
    <w:rsid w:val="00045F32"/>
    <w:rsid w:val="0004646E"/>
    <w:rsid w:val="00046885"/>
    <w:rsid w:val="0005238C"/>
    <w:rsid w:val="00053661"/>
    <w:rsid w:val="00053E37"/>
    <w:rsid w:val="00054A5F"/>
    <w:rsid w:val="0005676C"/>
    <w:rsid w:val="00056A1B"/>
    <w:rsid w:val="00057270"/>
    <w:rsid w:val="000575D4"/>
    <w:rsid w:val="00057962"/>
    <w:rsid w:val="00057B2E"/>
    <w:rsid w:val="0006017D"/>
    <w:rsid w:val="000629A3"/>
    <w:rsid w:val="000648EF"/>
    <w:rsid w:val="00066144"/>
    <w:rsid w:val="000661CF"/>
    <w:rsid w:val="00066591"/>
    <w:rsid w:val="00066F59"/>
    <w:rsid w:val="00067FAE"/>
    <w:rsid w:val="00072420"/>
    <w:rsid w:val="000737D4"/>
    <w:rsid w:val="00073A6D"/>
    <w:rsid w:val="000746E4"/>
    <w:rsid w:val="00074BD8"/>
    <w:rsid w:val="00074E95"/>
    <w:rsid w:val="00075098"/>
    <w:rsid w:val="0007517F"/>
    <w:rsid w:val="00075F59"/>
    <w:rsid w:val="00076A9C"/>
    <w:rsid w:val="0007731D"/>
    <w:rsid w:val="000809BE"/>
    <w:rsid w:val="00080D51"/>
    <w:rsid w:val="00081848"/>
    <w:rsid w:val="00081885"/>
    <w:rsid w:val="00081FD4"/>
    <w:rsid w:val="00082039"/>
    <w:rsid w:val="00082854"/>
    <w:rsid w:val="00082D33"/>
    <w:rsid w:val="00082D90"/>
    <w:rsid w:val="00082ED9"/>
    <w:rsid w:val="00083384"/>
    <w:rsid w:val="0008353A"/>
    <w:rsid w:val="0008366B"/>
    <w:rsid w:val="00084111"/>
    <w:rsid w:val="000844D9"/>
    <w:rsid w:val="000850F6"/>
    <w:rsid w:val="000866D1"/>
    <w:rsid w:val="00086AC6"/>
    <w:rsid w:val="00087D37"/>
    <w:rsid w:val="000903B9"/>
    <w:rsid w:val="00090A09"/>
    <w:rsid w:val="0009126A"/>
    <w:rsid w:val="0009218B"/>
    <w:rsid w:val="00093214"/>
    <w:rsid w:val="00093E2D"/>
    <w:rsid w:val="0009453F"/>
    <w:rsid w:val="00095599"/>
    <w:rsid w:val="0009590E"/>
    <w:rsid w:val="000959A0"/>
    <w:rsid w:val="00095CE7"/>
    <w:rsid w:val="000962BA"/>
    <w:rsid w:val="00096941"/>
    <w:rsid w:val="000A0ACB"/>
    <w:rsid w:val="000A1AF8"/>
    <w:rsid w:val="000A45B3"/>
    <w:rsid w:val="000A5314"/>
    <w:rsid w:val="000A57FE"/>
    <w:rsid w:val="000A6FBE"/>
    <w:rsid w:val="000A716C"/>
    <w:rsid w:val="000A7737"/>
    <w:rsid w:val="000B0A70"/>
    <w:rsid w:val="000B1CF6"/>
    <w:rsid w:val="000B4068"/>
    <w:rsid w:val="000B40D9"/>
    <w:rsid w:val="000B4916"/>
    <w:rsid w:val="000B4D2C"/>
    <w:rsid w:val="000B4F7A"/>
    <w:rsid w:val="000B55B9"/>
    <w:rsid w:val="000B5B13"/>
    <w:rsid w:val="000B70CB"/>
    <w:rsid w:val="000B771B"/>
    <w:rsid w:val="000B7A51"/>
    <w:rsid w:val="000C03AB"/>
    <w:rsid w:val="000C0451"/>
    <w:rsid w:val="000C0645"/>
    <w:rsid w:val="000C085F"/>
    <w:rsid w:val="000C1C36"/>
    <w:rsid w:val="000C27B3"/>
    <w:rsid w:val="000C29B7"/>
    <w:rsid w:val="000C4655"/>
    <w:rsid w:val="000C51BE"/>
    <w:rsid w:val="000C5614"/>
    <w:rsid w:val="000C5A83"/>
    <w:rsid w:val="000C5E28"/>
    <w:rsid w:val="000C6C77"/>
    <w:rsid w:val="000C7773"/>
    <w:rsid w:val="000C783A"/>
    <w:rsid w:val="000D1496"/>
    <w:rsid w:val="000D2017"/>
    <w:rsid w:val="000D20E4"/>
    <w:rsid w:val="000D2231"/>
    <w:rsid w:val="000D25C6"/>
    <w:rsid w:val="000D26FA"/>
    <w:rsid w:val="000D3499"/>
    <w:rsid w:val="000D34BA"/>
    <w:rsid w:val="000D38F4"/>
    <w:rsid w:val="000D4CF3"/>
    <w:rsid w:val="000D54CA"/>
    <w:rsid w:val="000D5F99"/>
    <w:rsid w:val="000D610E"/>
    <w:rsid w:val="000D623C"/>
    <w:rsid w:val="000D7E1F"/>
    <w:rsid w:val="000E0A25"/>
    <w:rsid w:val="000E0A9D"/>
    <w:rsid w:val="000E0D99"/>
    <w:rsid w:val="000E19E8"/>
    <w:rsid w:val="000E22B1"/>
    <w:rsid w:val="000E27F5"/>
    <w:rsid w:val="000E2F04"/>
    <w:rsid w:val="000E3032"/>
    <w:rsid w:val="000E3888"/>
    <w:rsid w:val="000E41E9"/>
    <w:rsid w:val="000E4640"/>
    <w:rsid w:val="000E54B5"/>
    <w:rsid w:val="000E6154"/>
    <w:rsid w:val="000E71CB"/>
    <w:rsid w:val="000F31C9"/>
    <w:rsid w:val="000F3463"/>
    <w:rsid w:val="000F3A08"/>
    <w:rsid w:val="000F3B54"/>
    <w:rsid w:val="000F4196"/>
    <w:rsid w:val="000F4474"/>
    <w:rsid w:val="000F44CB"/>
    <w:rsid w:val="000F4523"/>
    <w:rsid w:val="000F4F51"/>
    <w:rsid w:val="000F54AB"/>
    <w:rsid w:val="000F6461"/>
    <w:rsid w:val="000F684D"/>
    <w:rsid w:val="000F6C53"/>
    <w:rsid w:val="00100096"/>
    <w:rsid w:val="00100367"/>
    <w:rsid w:val="00102510"/>
    <w:rsid w:val="0010285A"/>
    <w:rsid w:val="0010382A"/>
    <w:rsid w:val="00103D13"/>
    <w:rsid w:val="00103D6D"/>
    <w:rsid w:val="0010408C"/>
    <w:rsid w:val="00105631"/>
    <w:rsid w:val="0010597F"/>
    <w:rsid w:val="00105ED9"/>
    <w:rsid w:val="0010613F"/>
    <w:rsid w:val="00106459"/>
    <w:rsid w:val="00106DBA"/>
    <w:rsid w:val="0011073A"/>
    <w:rsid w:val="0011237F"/>
    <w:rsid w:val="00112EE6"/>
    <w:rsid w:val="00113914"/>
    <w:rsid w:val="001141E6"/>
    <w:rsid w:val="00114466"/>
    <w:rsid w:val="0011704E"/>
    <w:rsid w:val="00117732"/>
    <w:rsid w:val="00117B17"/>
    <w:rsid w:val="00120920"/>
    <w:rsid w:val="001225E4"/>
    <w:rsid w:val="00122E77"/>
    <w:rsid w:val="00123037"/>
    <w:rsid w:val="00123BC2"/>
    <w:rsid w:val="0012500B"/>
    <w:rsid w:val="001253EA"/>
    <w:rsid w:val="001263E8"/>
    <w:rsid w:val="0012743B"/>
    <w:rsid w:val="0013268F"/>
    <w:rsid w:val="00132B29"/>
    <w:rsid w:val="0013301D"/>
    <w:rsid w:val="001341EF"/>
    <w:rsid w:val="00134DC8"/>
    <w:rsid w:val="001358DD"/>
    <w:rsid w:val="0013799B"/>
    <w:rsid w:val="00140A82"/>
    <w:rsid w:val="00140B65"/>
    <w:rsid w:val="00140C2F"/>
    <w:rsid w:val="00140C7D"/>
    <w:rsid w:val="00141501"/>
    <w:rsid w:val="00141D8B"/>
    <w:rsid w:val="00141F25"/>
    <w:rsid w:val="001426F0"/>
    <w:rsid w:val="00142F41"/>
    <w:rsid w:val="001431C1"/>
    <w:rsid w:val="001450CD"/>
    <w:rsid w:val="00150280"/>
    <w:rsid w:val="0015043F"/>
    <w:rsid w:val="00150E19"/>
    <w:rsid w:val="00152671"/>
    <w:rsid w:val="00153ADF"/>
    <w:rsid w:val="00154A89"/>
    <w:rsid w:val="00154C33"/>
    <w:rsid w:val="00155B70"/>
    <w:rsid w:val="00156074"/>
    <w:rsid w:val="001564EA"/>
    <w:rsid w:val="00157BA9"/>
    <w:rsid w:val="00157D32"/>
    <w:rsid w:val="00160147"/>
    <w:rsid w:val="00160828"/>
    <w:rsid w:val="001631F9"/>
    <w:rsid w:val="001633B1"/>
    <w:rsid w:val="0016518B"/>
    <w:rsid w:val="0016619E"/>
    <w:rsid w:val="001661E1"/>
    <w:rsid w:val="00166280"/>
    <w:rsid w:val="00166456"/>
    <w:rsid w:val="00167198"/>
    <w:rsid w:val="00167ACC"/>
    <w:rsid w:val="00170474"/>
    <w:rsid w:val="00170CFB"/>
    <w:rsid w:val="00171F93"/>
    <w:rsid w:val="00173C64"/>
    <w:rsid w:val="00173CFD"/>
    <w:rsid w:val="001745C4"/>
    <w:rsid w:val="001753C2"/>
    <w:rsid w:val="0017555E"/>
    <w:rsid w:val="00175BD9"/>
    <w:rsid w:val="001764FD"/>
    <w:rsid w:val="0017667A"/>
    <w:rsid w:val="001768C7"/>
    <w:rsid w:val="001770AA"/>
    <w:rsid w:val="00177A2D"/>
    <w:rsid w:val="00177AE1"/>
    <w:rsid w:val="00177BE9"/>
    <w:rsid w:val="00180814"/>
    <w:rsid w:val="00182CB4"/>
    <w:rsid w:val="00183026"/>
    <w:rsid w:val="001835BD"/>
    <w:rsid w:val="00183798"/>
    <w:rsid w:val="0018424A"/>
    <w:rsid w:val="00184AC0"/>
    <w:rsid w:val="001856F7"/>
    <w:rsid w:val="0018622D"/>
    <w:rsid w:val="001867DE"/>
    <w:rsid w:val="001869CC"/>
    <w:rsid w:val="00186E08"/>
    <w:rsid w:val="001909B5"/>
    <w:rsid w:val="00191366"/>
    <w:rsid w:val="00191D99"/>
    <w:rsid w:val="00192814"/>
    <w:rsid w:val="00192FCD"/>
    <w:rsid w:val="00193D4B"/>
    <w:rsid w:val="00194127"/>
    <w:rsid w:val="00195025"/>
    <w:rsid w:val="001955AD"/>
    <w:rsid w:val="0019579F"/>
    <w:rsid w:val="001967DF"/>
    <w:rsid w:val="001A0255"/>
    <w:rsid w:val="001A0920"/>
    <w:rsid w:val="001A131A"/>
    <w:rsid w:val="001A1D6B"/>
    <w:rsid w:val="001A2328"/>
    <w:rsid w:val="001A2C5E"/>
    <w:rsid w:val="001A328A"/>
    <w:rsid w:val="001A35CB"/>
    <w:rsid w:val="001A3BD0"/>
    <w:rsid w:val="001A68C1"/>
    <w:rsid w:val="001A6FFD"/>
    <w:rsid w:val="001A7EE0"/>
    <w:rsid w:val="001B06B7"/>
    <w:rsid w:val="001B0B15"/>
    <w:rsid w:val="001B1926"/>
    <w:rsid w:val="001B378D"/>
    <w:rsid w:val="001B418C"/>
    <w:rsid w:val="001B4312"/>
    <w:rsid w:val="001B4798"/>
    <w:rsid w:val="001B59F6"/>
    <w:rsid w:val="001B63A1"/>
    <w:rsid w:val="001B6B62"/>
    <w:rsid w:val="001B74B6"/>
    <w:rsid w:val="001B7AC8"/>
    <w:rsid w:val="001C003C"/>
    <w:rsid w:val="001C07DF"/>
    <w:rsid w:val="001C0CF1"/>
    <w:rsid w:val="001C199B"/>
    <w:rsid w:val="001C27DA"/>
    <w:rsid w:val="001C3517"/>
    <w:rsid w:val="001C417A"/>
    <w:rsid w:val="001C4886"/>
    <w:rsid w:val="001C4F05"/>
    <w:rsid w:val="001C7528"/>
    <w:rsid w:val="001D012C"/>
    <w:rsid w:val="001D10FD"/>
    <w:rsid w:val="001D18C8"/>
    <w:rsid w:val="001D20A5"/>
    <w:rsid w:val="001D2D09"/>
    <w:rsid w:val="001D39F7"/>
    <w:rsid w:val="001D3DFB"/>
    <w:rsid w:val="001D3E7D"/>
    <w:rsid w:val="001D4ECE"/>
    <w:rsid w:val="001D5C6F"/>
    <w:rsid w:val="001D5ED6"/>
    <w:rsid w:val="001D63FC"/>
    <w:rsid w:val="001D6CD4"/>
    <w:rsid w:val="001D7731"/>
    <w:rsid w:val="001E0C75"/>
    <w:rsid w:val="001E0DE0"/>
    <w:rsid w:val="001E2723"/>
    <w:rsid w:val="001E34FB"/>
    <w:rsid w:val="001E38DE"/>
    <w:rsid w:val="001E4E5F"/>
    <w:rsid w:val="001E530F"/>
    <w:rsid w:val="001E54E6"/>
    <w:rsid w:val="001E6291"/>
    <w:rsid w:val="001E6C58"/>
    <w:rsid w:val="001E6D3A"/>
    <w:rsid w:val="001E72F7"/>
    <w:rsid w:val="001E795C"/>
    <w:rsid w:val="001F00D7"/>
    <w:rsid w:val="001F0F53"/>
    <w:rsid w:val="001F1FC1"/>
    <w:rsid w:val="001F5D30"/>
    <w:rsid w:val="0020052C"/>
    <w:rsid w:val="0020102C"/>
    <w:rsid w:val="002011C3"/>
    <w:rsid w:val="0020128A"/>
    <w:rsid w:val="00201F4B"/>
    <w:rsid w:val="00203401"/>
    <w:rsid w:val="00203CC9"/>
    <w:rsid w:val="00204216"/>
    <w:rsid w:val="00204748"/>
    <w:rsid w:val="00204F31"/>
    <w:rsid w:val="002058EF"/>
    <w:rsid w:val="00205CD8"/>
    <w:rsid w:val="00205EF3"/>
    <w:rsid w:val="00206558"/>
    <w:rsid w:val="002065AE"/>
    <w:rsid w:val="00207612"/>
    <w:rsid w:val="00207B28"/>
    <w:rsid w:val="0021053D"/>
    <w:rsid w:val="00210FF8"/>
    <w:rsid w:val="0021102E"/>
    <w:rsid w:val="00213A30"/>
    <w:rsid w:val="0021453B"/>
    <w:rsid w:val="0021537A"/>
    <w:rsid w:val="00215F35"/>
    <w:rsid w:val="00216356"/>
    <w:rsid w:val="002163CB"/>
    <w:rsid w:val="002168FB"/>
    <w:rsid w:val="00216966"/>
    <w:rsid w:val="002170F8"/>
    <w:rsid w:val="00217B4E"/>
    <w:rsid w:val="00217E56"/>
    <w:rsid w:val="002212AD"/>
    <w:rsid w:val="00221324"/>
    <w:rsid w:val="002217BC"/>
    <w:rsid w:val="00221DEE"/>
    <w:rsid w:val="00222035"/>
    <w:rsid w:val="0022314B"/>
    <w:rsid w:val="00223474"/>
    <w:rsid w:val="00224798"/>
    <w:rsid w:val="00225106"/>
    <w:rsid w:val="002258E6"/>
    <w:rsid w:val="00225E93"/>
    <w:rsid w:val="002269DA"/>
    <w:rsid w:val="00230BD7"/>
    <w:rsid w:val="002318EC"/>
    <w:rsid w:val="00233A4A"/>
    <w:rsid w:val="00234346"/>
    <w:rsid w:val="002348D8"/>
    <w:rsid w:val="00234B50"/>
    <w:rsid w:val="00234F65"/>
    <w:rsid w:val="002350AA"/>
    <w:rsid w:val="00235315"/>
    <w:rsid w:val="002356DC"/>
    <w:rsid w:val="00235AE6"/>
    <w:rsid w:val="00235B4A"/>
    <w:rsid w:val="00235C24"/>
    <w:rsid w:val="00236351"/>
    <w:rsid w:val="002400A9"/>
    <w:rsid w:val="00240217"/>
    <w:rsid w:val="00241203"/>
    <w:rsid w:val="00241492"/>
    <w:rsid w:val="00241582"/>
    <w:rsid w:val="0024184D"/>
    <w:rsid w:val="00241A4B"/>
    <w:rsid w:val="002435FF"/>
    <w:rsid w:val="002437B1"/>
    <w:rsid w:val="00243BCA"/>
    <w:rsid w:val="00245BDB"/>
    <w:rsid w:val="00245F7B"/>
    <w:rsid w:val="00246B59"/>
    <w:rsid w:val="00246BE1"/>
    <w:rsid w:val="00246D52"/>
    <w:rsid w:val="002479AB"/>
    <w:rsid w:val="00247E14"/>
    <w:rsid w:val="00247F2E"/>
    <w:rsid w:val="00247F62"/>
    <w:rsid w:val="00250E2D"/>
    <w:rsid w:val="00251FA3"/>
    <w:rsid w:val="00252097"/>
    <w:rsid w:val="002552D0"/>
    <w:rsid w:val="00255362"/>
    <w:rsid w:val="002553F6"/>
    <w:rsid w:val="002567F4"/>
    <w:rsid w:val="00256BC6"/>
    <w:rsid w:val="00256D1D"/>
    <w:rsid w:val="00257812"/>
    <w:rsid w:val="00257CFA"/>
    <w:rsid w:val="00260A68"/>
    <w:rsid w:val="00262244"/>
    <w:rsid w:val="002635F9"/>
    <w:rsid w:val="00263CC8"/>
    <w:rsid w:val="00264961"/>
    <w:rsid w:val="00264CFC"/>
    <w:rsid w:val="00266075"/>
    <w:rsid w:val="00270064"/>
    <w:rsid w:val="0027178F"/>
    <w:rsid w:val="0027200E"/>
    <w:rsid w:val="00274C36"/>
    <w:rsid w:val="00274C82"/>
    <w:rsid w:val="00275260"/>
    <w:rsid w:val="00275372"/>
    <w:rsid w:val="00276BF5"/>
    <w:rsid w:val="00276C90"/>
    <w:rsid w:val="00277005"/>
    <w:rsid w:val="00280E1F"/>
    <w:rsid w:val="00282FA3"/>
    <w:rsid w:val="002837AE"/>
    <w:rsid w:val="00284491"/>
    <w:rsid w:val="002844D3"/>
    <w:rsid w:val="0028689C"/>
    <w:rsid w:val="0028749E"/>
    <w:rsid w:val="00290673"/>
    <w:rsid w:val="0029112B"/>
    <w:rsid w:val="002916D5"/>
    <w:rsid w:val="002930EC"/>
    <w:rsid w:val="002935C7"/>
    <w:rsid w:val="00293899"/>
    <w:rsid w:val="00293DCD"/>
    <w:rsid w:val="002944C2"/>
    <w:rsid w:val="002945F9"/>
    <w:rsid w:val="00294C6C"/>
    <w:rsid w:val="00295426"/>
    <w:rsid w:val="00295A79"/>
    <w:rsid w:val="002965E1"/>
    <w:rsid w:val="002967FC"/>
    <w:rsid w:val="00296D5A"/>
    <w:rsid w:val="00296DAD"/>
    <w:rsid w:val="00297EC9"/>
    <w:rsid w:val="002A06DD"/>
    <w:rsid w:val="002A09F0"/>
    <w:rsid w:val="002A19CE"/>
    <w:rsid w:val="002A1C4E"/>
    <w:rsid w:val="002A23EA"/>
    <w:rsid w:val="002A3B98"/>
    <w:rsid w:val="002A3CCF"/>
    <w:rsid w:val="002A4EF1"/>
    <w:rsid w:val="002A5ECA"/>
    <w:rsid w:val="002A6E4E"/>
    <w:rsid w:val="002A74D7"/>
    <w:rsid w:val="002A7892"/>
    <w:rsid w:val="002A7A3B"/>
    <w:rsid w:val="002B0546"/>
    <w:rsid w:val="002B0560"/>
    <w:rsid w:val="002B0A0E"/>
    <w:rsid w:val="002B0A4E"/>
    <w:rsid w:val="002B197E"/>
    <w:rsid w:val="002B2440"/>
    <w:rsid w:val="002B29DE"/>
    <w:rsid w:val="002B37CA"/>
    <w:rsid w:val="002B3DA2"/>
    <w:rsid w:val="002B7258"/>
    <w:rsid w:val="002C03A8"/>
    <w:rsid w:val="002C16A1"/>
    <w:rsid w:val="002C2306"/>
    <w:rsid w:val="002C2813"/>
    <w:rsid w:val="002C3DDB"/>
    <w:rsid w:val="002C3E01"/>
    <w:rsid w:val="002C586C"/>
    <w:rsid w:val="002C5B65"/>
    <w:rsid w:val="002D00C4"/>
    <w:rsid w:val="002D0697"/>
    <w:rsid w:val="002D13BB"/>
    <w:rsid w:val="002D13DD"/>
    <w:rsid w:val="002D23DC"/>
    <w:rsid w:val="002D3304"/>
    <w:rsid w:val="002D331E"/>
    <w:rsid w:val="002D4991"/>
    <w:rsid w:val="002D61A9"/>
    <w:rsid w:val="002D675D"/>
    <w:rsid w:val="002D6E38"/>
    <w:rsid w:val="002D73F6"/>
    <w:rsid w:val="002D768E"/>
    <w:rsid w:val="002D7BC9"/>
    <w:rsid w:val="002D7F33"/>
    <w:rsid w:val="002E0A7B"/>
    <w:rsid w:val="002E0D5E"/>
    <w:rsid w:val="002E1BAB"/>
    <w:rsid w:val="002E1FD9"/>
    <w:rsid w:val="002E1FFE"/>
    <w:rsid w:val="002E24D3"/>
    <w:rsid w:val="002E2A6B"/>
    <w:rsid w:val="002E4858"/>
    <w:rsid w:val="002E4A34"/>
    <w:rsid w:val="002E51AB"/>
    <w:rsid w:val="002E559F"/>
    <w:rsid w:val="002E56A3"/>
    <w:rsid w:val="002E5F41"/>
    <w:rsid w:val="002E6EB9"/>
    <w:rsid w:val="002E7276"/>
    <w:rsid w:val="002E7B44"/>
    <w:rsid w:val="002F020F"/>
    <w:rsid w:val="002F08C3"/>
    <w:rsid w:val="002F0AAB"/>
    <w:rsid w:val="002F1FAC"/>
    <w:rsid w:val="002F2E04"/>
    <w:rsid w:val="002F37A5"/>
    <w:rsid w:val="002F3B96"/>
    <w:rsid w:val="002F3BAE"/>
    <w:rsid w:val="002F3FC8"/>
    <w:rsid w:val="002F40AD"/>
    <w:rsid w:val="002F4140"/>
    <w:rsid w:val="002F4171"/>
    <w:rsid w:val="002F6088"/>
    <w:rsid w:val="002F6344"/>
    <w:rsid w:val="002F6DE4"/>
    <w:rsid w:val="002F7459"/>
    <w:rsid w:val="00303559"/>
    <w:rsid w:val="0030381A"/>
    <w:rsid w:val="00303F8E"/>
    <w:rsid w:val="00305298"/>
    <w:rsid w:val="003058DF"/>
    <w:rsid w:val="0030698D"/>
    <w:rsid w:val="003069B3"/>
    <w:rsid w:val="003072CF"/>
    <w:rsid w:val="003076C9"/>
    <w:rsid w:val="00307CB7"/>
    <w:rsid w:val="003107C0"/>
    <w:rsid w:val="0031122B"/>
    <w:rsid w:val="00311535"/>
    <w:rsid w:val="00311B3A"/>
    <w:rsid w:val="00311B7F"/>
    <w:rsid w:val="00313096"/>
    <w:rsid w:val="0031398B"/>
    <w:rsid w:val="003141E7"/>
    <w:rsid w:val="003144C3"/>
    <w:rsid w:val="00314727"/>
    <w:rsid w:val="00314D5C"/>
    <w:rsid w:val="003150EE"/>
    <w:rsid w:val="0031526F"/>
    <w:rsid w:val="00316AC2"/>
    <w:rsid w:val="00317E7C"/>
    <w:rsid w:val="00321D75"/>
    <w:rsid w:val="0032211C"/>
    <w:rsid w:val="00322608"/>
    <w:rsid w:val="0032368A"/>
    <w:rsid w:val="00323867"/>
    <w:rsid w:val="00323BFE"/>
    <w:rsid w:val="00324A4E"/>
    <w:rsid w:val="00324CFE"/>
    <w:rsid w:val="003250E2"/>
    <w:rsid w:val="003266E0"/>
    <w:rsid w:val="00326799"/>
    <w:rsid w:val="00330522"/>
    <w:rsid w:val="00331602"/>
    <w:rsid w:val="003319F4"/>
    <w:rsid w:val="00332066"/>
    <w:rsid w:val="00333024"/>
    <w:rsid w:val="003331A0"/>
    <w:rsid w:val="003332AC"/>
    <w:rsid w:val="00333607"/>
    <w:rsid w:val="00334151"/>
    <w:rsid w:val="00334483"/>
    <w:rsid w:val="00334953"/>
    <w:rsid w:val="003366AF"/>
    <w:rsid w:val="00337F9D"/>
    <w:rsid w:val="003404E3"/>
    <w:rsid w:val="00340BFD"/>
    <w:rsid w:val="00342344"/>
    <w:rsid w:val="0034338F"/>
    <w:rsid w:val="003439C1"/>
    <w:rsid w:val="003440C2"/>
    <w:rsid w:val="003449BB"/>
    <w:rsid w:val="00344FF6"/>
    <w:rsid w:val="003453ED"/>
    <w:rsid w:val="00345E7F"/>
    <w:rsid w:val="003472F3"/>
    <w:rsid w:val="00347549"/>
    <w:rsid w:val="003504FE"/>
    <w:rsid w:val="00350857"/>
    <w:rsid w:val="00352104"/>
    <w:rsid w:val="0035299F"/>
    <w:rsid w:val="00353981"/>
    <w:rsid w:val="003543A5"/>
    <w:rsid w:val="003545B8"/>
    <w:rsid w:val="003546D7"/>
    <w:rsid w:val="00354D22"/>
    <w:rsid w:val="00357411"/>
    <w:rsid w:val="00361DCA"/>
    <w:rsid w:val="0036426C"/>
    <w:rsid w:val="003646AD"/>
    <w:rsid w:val="00365FE4"/>
    <w:rsid w:val="003662AB"/>
    <w:rsid w:val="003668DD"/>
    <w:rsid w:val="00367F8D"/>
    <w:rsid w:val="003704F2"/>
    <w:rsid w:val="00370668"/>
    <w:rsid w:val="00370A52"/>
    <w:rsid w:val="00372FFC"/>
    <w:rsid w:val="00373C6B"/>
    <w:rsid w:val="0037419E"/>
    <w:rsid w:val="00374D21"/>
    <w:rsid w:val="0037620D"/>
    <w:rsid w:val="00376281"/>
    <w:rsid w:val="003774CA"/>
    <w:rsid w:val="003819E5"/>
    <w:rsid w:val="0038232C"/>
    <w:rsid w:val="003825C8"/>
    <w:rsid w:val="0038350D"/>
    <w:rsid w:val="003855DA"/>
    <w:rsid w:val="00385FB3"/>
    <w:rsid w:val="00386122"/>
    <w:rsid w:val="00387011"/>
    <w:rsid w:val="003878F6"/>
    <w:rsid w:val="003879D2"/>
    <w:rsid w:val="00387DC6"/>
    <w:rsid w:val="0039004C"/>
    <w:rsid w:val="00390B99"/>
    <w:rsid w:val="00390E39"/>
    <w:rsid w:val="00391797"/>
    <w:rsid w:val="0039268E"/>
    <w:rsid w:val="00393690"/>
    <w:rsid w:val="00394632"/>
    <w:rsid w:val="00395CE6"/>
    <w:rsid w:val="00395CEF"/>
    <w:rsid w:val="00396358"/>
    <w:rsid w:val="00396601"/>
    <w:rsid w:val="00397885"/>
    <w:rsid w:val="00397C6C"/>
    <w:rsid w:val="003A0485"/>
    <w:rsid w:val="003A0D00"/>
    <w:rsid w:val="003A0DE8"/>
    <w:rsid w:val="003A1548"/>
    <w:rsid w:val="003A1892"/>
    <w:rsid w:val="003A1B10"/>
    <w:rsid w:val="003A1B55"/>
    <w:rsid w:val="003A1BE6"/>
    <w:rsid w:val="003A3282"/>
    <w:rsid w:val="003A3740"/>
    <w:rsid w:val="003A4125"/>
    <w:rsid w:val="003A5384"/>
    <w:rsid w:val="003A5E74"/>
    <w:rsid w:val="003A630A"/>
    <w:rsid w:val="003A6F33"/>
    <w:rsid w:val="003A7685"/>
    <w:rsid w:val="003A7719"/>
    <w:rsid w:val="003B0859"/>
    <w:rsid w:val="003B13A3"/>
    <w:rsid w:val="003B1A81"/>
    <w:rsid w:val="003B1A8F"/>
    <w:rsid w:val="003B201E"/>
    <w:rsid w:val="003B224E"/>
    <w:rsid w:val="003B277C"/>
    <w:rsid w:val="003B4BDA"/>
    <w:rsid w:val="003B4E21"/>
    <w:rsid w:val="003B574A"/>
    <w:rsid w:val="003B6329"/>
    <w:rsid w:val="003B651F"/>
    <w:rsid w:val="003B6941"/>
    <w:rsid w:val="003B6BBB"/>
    <w:rsid w:val="003B6CD8"/>
    <w:rsid w:val="003B7011"/>
    <w:rsid w:val="003C00A7"/>
    <w:rsid w:val="003C1029"/>
    <w:rsid w:val="003C1807"/>
    <w:rsid w:val="003C1F30"/>
    <w:rsid w:val="003C37B2"/>
    <w:rsid w:val="003C43F8"/>
    <w:rsid w:val="003C4881"/>
    <w:rsid w:val="003C49C9"/>
    <w:rsid w:val="003C621B"/>
    <w:rsid w:val="003C7290"/>
    <w:rsid w:val="003C79E6"/>
    <w:rsid w:val="003C7F8E"/>
    <w:rsid w:val="003D1B8A"/>
    <w:rsid w:val="003D1C5F"/>
    <w:rsid w:val="003D1F68"/>
    <w:rsid w:val="003D2FB5"/>
    <w:rsid w:val="003D3282"/>
    <w:rsid w:val="003D33F6"/>
    <w:rsid w:val="003D7194"/>
    <w:rsid w:val="003D73D7"/>
    <w:rsid w:val="003D7ED5"/>
    <w:rsid w:val="003D7F23"/>
    <w:rsid w:val="003E0B6B"/>
    <w:rsid w:val="003E2326"/>
    <w:rsid w:val="003E2472"/>
    <w:rsid w:val="003E2CEE"/>
    <w:rsid w:val="003E2E44"/>
    <w:rsid w:val="003E30D9"/>
    <w:rsid w:val="003E4780"/>
    <w:rsid w:val="003E47F0"/>
    <w:rsid w:val="003E559E"/>
    <w:rsid w:val="003E5604"/>
    <w:rsid w:val="003E6983"/>
    <w:rsid w:val="003E7225"/>
    <w:rsid w:val="003E7F20"/>
    <w:rsid w:val="003F0555"/>
    <w:rsid w:val="003F0D9A"/>
    <w:rsid w:val="003F117A"/>
    <w:rsid w:val="003F1BC1"/>
    <w:rsid w:val="003F21BA"/>
    <w:rsid w:val="003F24EA"/>
    <w:rsid w:val="003F39B0"/>
    <w:rsid w:val="003F3CA7"/>
    <w:rsid w:val="003F5905"/>
    <w:rsid w:val="003F6C3A"/>
    <w:rsid w:val="003F7079"/>
    <w:rsid w:val="003F7C82"/>
    <w:rsid w:val="00400B01"/>
    <w:rsid w:val="0040239E"/>
    <w:rsid w:val="00402A9F"/>
    <w:rsid w:val="00403FDD"/>
    <w:rsid w:val="004041A8"/>
    <w:rsid w:val="00404987"/>
    <w:rsid w:val="00404A8E"/>
    <w:rsid w:val="004052FF"/>
    <w:rsid w:val="00405DF3"/>
    <w:rsid w:val="004070E7"/>
    <w:rsid w:val="00407ECC"/>
    <w:rsid w:val="004115FD"/>
    <w:rsid w:val="00412026"/>
    <w:rsid w:val="00412329"/>
    <w:rsid w:val="00413019"/>
    <w:rsid w:val="0041352B"/>
    <w:rsid w:val="004140CB"/>
    <w:rsid w:val="00414F2B"/>
    <w:rsid w:val="004158A4"/>
    <w:rsid w:val="004158F9"/>
    <w:rsid w:val="00415AD9"/>
    <w:rsid w:val="004167E9"/>
    <w:rsid w:val="00417179"/>
    <w:rsid w:val="0041785A"/>
    <w:rsid w:val="00417D99"/>
    <w:rsid w:val="0042026C"/>
    <w:rsid w:val="00422093"/>
    <w:rsid w:val="00422347"/>
    <w:rsid w:val="00422395"/>
    <w:rsid w:val="0042344B"/>
    <w:rsid w:val="00424F29"/>
    <w:rsid w:val="004255FF"/>
    <w:rsid w:val="00425922"/>
    <w:rsid w:val="00426969"/>
    <w:rsid w:val="00426D5A"/>
    <w:rsid w:val="00427637"/>
    <w:rsid w:val="00432B82"/>
    <w:rsid w:val="00433118"/>
    <w:rsid w:val="00433195"/>
    <w:rsid w:val="00433333"/>
    <w:rsid w:val="004333E6"/>
    <w:rsid w:val="00433D66"/>
    <w:rsid w:val="00433FA3"/>
    <w:rsid w:val="0043545A"/>
    <w:rsid w:val="0043576A"/>
    <w:rsid w:val="00435AD6"/>
    <w:rsid w:val="00437245"/>
    <w:rsid w:val="00437562"/>
    <w:rsid w:val="004375DA"/>
    <w:rsid w:val="0043785D"/>
    <w:rsid w:val="00437A12"/>
    <w:rsid w:val="00440F65"/>
    <w:rsid w:val="004416AC"/>
    <w:rsid w:val="00441B4B"/>
    <w:rsid w:val="00441EED"/>
    <w:rsid w:val="00442B1D"/>
    <w:rsid w:val="00443C7F"/>
    <w:rsid w:val="00443DF9"/>
    <w:rsid w:val="004448A5"/>
    <w:rsid w:val="00444C24"/>
    <w:rsid w:val="00445F40"/>
    <w:rsid w:val="00446380"/>
    <w:rsid w:val="00450DBD"/>
    <w:rsid w:val="0045166D"/>
    <w:rsid w:val="004536E7"/>
    <w:rsid w:val="004538ED"/>
    <w:rsid w:val="0045395A"/>
    <w:rsid w:val="00453EA1"/>
    <w:rsid w:val="004548C4"/>
    <w:rsid w:val="0045493B"/>
    <w:rsid w:val="00455D11"/>
    <w:rsid w:val="004564E3"/>
    <w:rsid w:val="004566F5"/>
    <w:rsid w:val="004569A2"/>
    <w:rsid w:val="004570A3"/>
    <w:rsid w:val="00457158"/>
    <w:rsid w:val="0045770D"/>
    <w:rsid w:val="00457AF1"/>
    <w:rsid w:val="004606DE"/>
    <w:rsid w:val="00460D41"/>
    <w:rsid w:val="00460E55"/>
    <w:rsid w:val="004621E1"/>
    <w:rsid w:val="0046249A"/>
    <w:rsid w:val="00463296"/>
    <w:rsid w:val="00464AF4"/>
    <w:rsid w:val="00465A00"/>
    <w:rsid w:val="00465CFD"/>
    <w:rsid w:val="004668AE"/>
    <w:rsid w:val="00467910"/>
    <w:rsid w:val="004704E1"/>
    <w:rsid w:val="00470974"/>
    <w:rsid w:val="00471331"/>
    <w:rsid w:val="00472C0D"/>
    <w:rsid w:val="00472FF0"/>
    <w:rsid w:val="00473B16"/>
    <w:rsid w:val="00474018"/>
    <w:rsid w:val="00474075"/>
    <w:rsid w:val="00474506"/>
    <w:rsid w:val="0047470B"/>
    <w:rsid w:val="00474FF9"/>
    <w:rsid w:val="004764A3"/>
    <w:rsid w:val="004770A5"/>
    <w:rsid w:val="0048034E"/>
    <w:rsid w:val="00480A57"/>
    <w:rsid w:val="00480D15"/>
    <w:rsid w:val="00481964"/>
    <w:rsid w:val="0048223E"/>
    <w:rsid w:val="004825E0"/>
    <w:rsid w:val="004828B9"/>
    <w:rsid w:val="004830F4"/>
    <w:rsid w:val="004833D0"/>
    <w:rsid w:val="0048497A"/>
    <w:rsid w:val="00485CD2"/>
    <w:rsid w:val="004863C4"/>
    <w:rsid w:val="004866AC"/>
    <w:rsid w:val="00486A2E"/>
    <w:rsid w:val="00486B99"/>
    <w:rsid w:val="0048731A"/>
    <w:rsid w:val="00487DE1"/>
    <w:rsid w:val="004913BF"/>
    <w:rsid w:val="004915DC"/>
    <w:rsid w:val="004930D5"/>
    <w:rsid w:val="004932B0"/>
    <w:rsid w:val="004933B0"/>
    <w:rsid w:val="00493925"/>
    <w:rsid w:val="00493DDD"/>
    <w:rsid w:val="004940D0"/>
    <w:rsid w:val="00494776"/>
    <w:rsid w:val="00494A8B"/>
    <w:rsid w:val="00494F1C"/>
    <w:rsid w:val="00495B35"/>
    <w:rsid w:val="0049609C"/>
    <w:rsid w:val="0049689E"/>
    <w:rsid w:val="00497894"/>
    <w:rsid w:val="004A0C3D"/>
    <w:rsid w:val="004A1913"/>
    <w:rsid w:val="004A224C"/>
    <w:rsid w:val="004A23AA"/>
    <w:rsid w:val="004A2434"/>
    <w:rsid w:val="004A2DCA"/>
    <w:rsid w:val="004A343B"/>
    <w:rsid w:val="004A37BC"/>
    <w:rsid w:val="004A474B"/>
    <w:rsid w:val="004A5449"/>
    <w:rsid w:val="004A5671"/>
    <w:rsid w:val="004A57F7"/>
    <w:rsid w:val="004A599E"/>
    <w:rsid w:val="004A5D02"/>
    <w:rsid w:val="004A5FF3"/>
    <w:rsid w:val="004A6A1A"/>
    <w:rsid w:val="004A6E06"/>
    <w:rsid w:val="004A70F2"/>
    <w:rsid w:val="004A742A"/>
    <w:rsid w:val="004A7925"/>
    <w:rsid w:val="004A7B15"/>
    <w:rsid w:val="004A7EB7"/>
    <w:rsid w:val="004B06E5"/>
    <w:rsid w:val="004B16B1"/>
    <w:rsid w:val="004B1FCD"/>
    <w:rsid w:val="004B39CD"/>
    <w:rsid w:val="004B416E"/>
    <w:rsid w:val="004B4C48"/>
    <w:rsid w:val="004B5778"/>
    <w:rsid w:val="004B583D"/>
    <w:rsid w:val="004B5ED7"/>
    <w:rsid w:val="004B776C"/>
    <w:rsid w:val="004C07BE"/>
    <w:rsid w:val="004C0C3B"/>
    <w:rsid w:val="004C148B"/>
    <w:rsid w:val="004C1F39"/>
    <w:rsid w:val="004C22F5"/>
    <w:rsid w:val="004C2373"/>
    <w:rsid w:val="004C3491"/>
    <w:rsid w:val="004C37E0"/>
    <w:rsid w:val="004C3FEE"/>
    <w:rsid w:val="004C4571"/>
    <w:rsid w:val="004C4817"/>
    <w:rsid w:val="004C4A46"/>
    <w:rsid w:val="004C52A5"/>
    <w:rsid w:val="004C587E"/>
    <w:rsid w:val="004C5F94"/>
    <w:rsid w:val="004C65D6"/>
    <w:rsid w:val="004C6612"/>
    <w:rsid w:val="004C661E"/>
    <w:rsid w:val="004C754C"/>
    <w:rsid w:val="004C7C18"/>
    <w:rsid w:val="004C7E30"/>
    <w:rsid w:val="004D0649"/>
    <w:rsid w:val="004D10C9"/>
    <w:rsid w:val="004D4232"/>
    <w:rsid w:val="004D458A"/>
    <w:rsid w:val="004D48FB"/>
    <w:rsid w:val="004D4E5A"/>
    <w:rsid w:val="004D50AB"/>
    <w:rsid w:val="004D70D3"/>
    <w:rsid w:val="004D7FF1"/>
    <w:rsid w:val="004E24E8"/>
    <w:rsid w:val="004E2B2C"/>
    <w:rsid w:val="004E3C7A"/>
    <w:rsid w:val="004E47FB"/>
    <w:rsid w:val="004E505D"/>
    <w:rsid w:val="004E595A"/>
    <w:rsid w:val="004E5A69"/>
    <w:rsid w:val="004E5E66"/>
    <w:rsid w:val="004E7552"/>
    <w:rsid w:val="004E798E"/>
    <w:rsid w:val="004E7DE0"/>
    <w:rsid w:val="004F016A"/>
    <w:rsid w:val="004F047E"/>
    <w:rsid w:val="004F0E67"/>
    <w:rsid w:val="004F1259"/>
    <w:rsid w:val="004F1A0F"/>
    <w:rsid w:val="004F2201"/>
    <w:rsid w:val="004F293F"/>
    <w:rsid w:val="004F2A3A"/>
    <w:rsid w:val="004F2A86"/>
    <w:rsid w:val="004F4239"/>
    <w:rsid w:val="004F447A"/>
    <w:rsid w:val="004F6300"/>
    <w:rsid w:val="004F6EDC"/>
    <w:rsid w:val="004F706C"/>
    <w:rsid w:val="004F7F00"/>
    <w:rsid w:val="0050019D"/>
    <w:rsid w:val="005031A8"/>
    <w:rsid w:val="00503385"/>
    <w:rsid w:val="0050364B"/>
    <w:rsid w:val="00504383"/>
    <w:rsid w:val="00504675"/>
    <w:rsid w:val="00506451"/>
    <w:rsid w:val="00506905"/>
    <w:rsid w:val="00506C18"/>
    <w:rsid w:val="0050720F"/>
    <w:rsid w:val="005102C9"/>
    <w:rsid w:val="005104A2"/>
    <w:rsid w:val="00510820"/>
    <w:rsid w:val="00510C24"/>
    <w:rsid w:val="00511538"/>
    <w:rsid w:val="00511718"/>
    <w:rsid w:val="00512E9C"/>
    <w:rsid w:val="005133A7"/>
    <w:rsid w:val="005133E2"/>
    <w:rsid w:val="00513974"/>
    <w:rsid w:val="00513DAC"/>
    <w:rsid w:val="00514E55"/>
    <w:rsid w:val="00516A84"/>
    <w:rsid w:val="0052195B"/>
    <w:rsid w:val="00522AB2"/>
    <w:rsid w:val="00523F8B"/>
    <w:rsid w:val="00524AEF"/>
    <w:rsid w:val="00524B4F"/>
    <w:rsid w:val="00524C81"/>
    <w:rsid w:val="00524D12"/>
    <w:rsid w:val="00525267"/>
    <w:rsid w:val="005256FE"/>
    <w:rsid w:val="00525C0B"/>
    <w:rsid w:val="005271F7"/>
    <w:rsid w:val="005272AC"/>
    <w:rsid w:val="00527340"/>
    <w:rsid w:val="00527559"/>
    <w:rsid w:val="005312B4"/>
    <w:rsid w:val="00531C81"/>
    <w:rsid w:val="00532C5A"/>
    <w:rsid w:val="00533055"/>
    <w:rsid w:val="005333AD"/>
    <w:rsid w:val="00533876"/>
    <w:rsid w:val="00534533"/>
    <w:rsid w:val="00534952"/>
    <w:rsid w:val="00535923"/>
    <w:rsid w:val="00535D5F"/>
    <w:rsid w:val="0053693A"/>
    <w:rsid w:val="00537225"/>
    <w:rsid w:val="00537A07"/>
    <w:rsid w:val="00537E7F"/>
    <w:rsid w:val="00540CC2"/>
    <w:rsid w:val="00540EAF"/>
    <w:rsid w:val="0054535E"/>
    <w:rsid w:val="005453D3"/>
    <w:rsid w:val="00545DFB"/>
    <w:rsid w:val="00546349"/>
    <w:rsid w:val="00546736"/>
    <w:rsid w:val="00547584"/>
    <w:rsid w:val="005505FB"/>
    <w:rsid w:val="0055065C"/>
    <w:rsid w:val="005517B9"/>
    <w:rsid w:val="005529CB"/>
    <w:rsid w:val="00553757"/>
    <w:rsid w:val="00553847"/>
    <w:rsid w:val="00553ACA"/>
    <w:rsid w:val="00555178"/>
    <w:rsid w:val="005567B2"/>
    <w:rsid w:val="005575CB"/>
    <w:rsid w:val="005579F0"/>
    <w:rsid w:val="00557AC6"/>
    <w:rsid w:val="00560B5E"/>
    <w:rsid w:val="00563C5D"/>
    <w:rsid w:val="005645FC"/>
    <w:rsid w:val="00566803"/>
    <w:rsid w:val="00566C07"/>
    <w:rsid w:val="00566C32"/>
    <w:rsid w:val="00566DC1"/>
    <w:rsid w:val="005670B5"/>
    <w:rsid w:val="00567BB5"/>
    <w:rsid w:val="00570758"/>
    <w:rsid w:val="005709C8"/>
    <w:rsid w:val="005714B1"/>
    <w:rsid w:val="00571D14"/>
    <w:rsid w:val="005726DE"/>
    <w:rsid w:val="005728E3"/>
    <w:rsid w:val="00573215"/>
    <w:rsid w:val="00573480"/>
    <w:rsid w:val="00573591"/>
    <w:rsid w:val="00573AFA"/>
    <w:rsid w:val="00573F61"/>
    <w:rsid w:val="005743CD"/>
    <w:rsid w:val="00574C05"/>
    <w:rsid w:val="00576096"/>
    <w:rsid w:val="00576403"/>
    <w:rsid w:val="0057674C"/>
    <w:rsid w:val="0057748D"/>
    <w:rsid w:val="00577DA1"/>
    <w:rsid w:val="00577F64"/>
    <w:rsid w:val="005804E6"/>
    <w:rsid w:val="00580745"/>
    <w:rsid w:val="00581953"/>
    <w:rsid w:val="00582793"/>
    <w:rsid w:val="00582D1A"/>
    <w:rsid w:val="00583C51"/>
    <w:rsid w:val="005851BB"/>
    <w:rsid w:val="005854DF"/>
    <w:rsid w:val="00585AA3"/>
    <w:rsid w:val="00587147"/>
    <w:rsid w:val="00587EAE"/>
    <w:rsid w:val="0059218C"/>
    <w:rsid w:val="005957E5"/>
    <w:rsid w:val="00595B59"/>
    <w:rsid w:val="00595CD8"/>
    <w:rsid w:val="005A1799"/>
    <w:rsid w:val="005A1926"/>
    <w:rsid w:val="005A1DBD"/>
    <w:rsid w:val="005A2218"/>
    <w:rsid w:val="005A3065"/>
    <w:rsid w:val="005A4688"/>
    <w:rsid w:val="005A4B82"/>
    <w:rsid w:val="005A5085"/>
    <w:rsid w:val="005A539C"/>
    <w:rsid w:val="005A5782"/>
    <w:rsid w:val="005A5A18"/>
    <w:rsid w:val="005A6D1C"/>
    <w:rsid w:val="005A6D7B"/>
    <w:rsid w:val="005A6E41"/>
    <w:rsid w:val="005A79E1"/>
    <w:rsid w:val="005B048D"/>
    <w:rsid w:val="005B0562"/>
    <w:rsid w:val="005B0A94"/>
    <w:rsid w:val="005B0B58"/>
    <w:rsid w:val="005B14DD"/>
    <w:rsid w:val="005B3331"/>
    <w:rsid w:val="005B3561"/>
    <w:rsid w:val="005B3E37"/>
    <w:rsid w:val="005B3F29"/>
    <w:rsid w:val="005B409D"/>
    <w:rsid w:val="005B52F0"/>
    <w:rsid w:val="005B61B8"/>
    <w:rsid w:val="005B6D59"/>
    <w:rsid w:val="005B713C"/>
    <w:rsid w:val="005B7F7E"/>
    <w:rsid w:val="005C084F"/>
    <w:rsid w:val="005C0A34"/>
    <w:rsid w:val="005C19DB"/>
    <w:rsid w:val="005C22D4"/>
    <w:rsid w:val="005C33AF"/>
    <w:rsid w:val="005C41CC"/>
    <w:rsid w:val="005D064D"/>
    <w:rsid w:val="005D0732"/>
    <w:rsid w:val="005D1347"/>
    <w:rsid w:val="005D162A"/>
    <w:rsid w:val="005D1C9B"/>
    <w:rsid w:val="005D2070"/>
    <w:rsid w:val="005D45EF"/>
    <w:rsid w:val="005D47D4"/>
    <w:rsid w:val="005D57C5"/>
    <w:rsid w:val="005D584E"/>
    <w:rsid w:val="005D6ABC"/>
    <w:rsid w:val="005D7E08"/>
    <w:rsid w:val="005E03BE"/>
    <w:rsid w:val="005E1552"/>
    <w:rsid w:val="005E1B16"/>
    <w:rsid w:val="005E2133"/>
    <w:rsid w:val="005E3534"/>
    <w:rsid w:val="005E5888"/>
    <w:rsid w:val="005E641D"/>
    <w:rsid w:val="005E6717"/>
    <w:rsid w:val="005E78F4"/>
    <w:rsid w:val="005E7E11"/>
    <w:rsid w:val="005F0407"/>
    <w:rsid w:val="005F052D"/>
    <w:rsid w:val="005F08E7"/>
    <w:rsid w:val="005F2548"/>
    <w:rsid w:val="005F31F0"/>
    <w:rsid w:val="005F322F"/>
    <w:rsid w:val="005F323F"/>
    <w:rsid w:val="005F39BE"/>
    <w:rsid w:val="005F41F8"/>
    <w:rsid w:val="005F4C4C"/>
    <w:rsid w:val="005F5240"/>
    <w:rsid w:val="005F5877"/>
    <w:rsid w:val="005F5FB4"/>
    <w:rsid w:val="005F6619"/>
    <w:rsid w:val="005F6688"/>
    <w:rsid w:val="005F7DD1"/>
    <w:rsid w:val="00600255"/>
    <w:rsid w:val="00600545"/>
    <w:rsid w:val="00600E3C"/>
    <w:rsid w:val="0060148E"/>
    <w:rsid w:val="0060385F"/>
    <w:rsid w:val="00603D42"/>
    <w:rsid w:val="00605287"/>
    <w:rsid w:val="00605322"/>
    <w:rsid w:val="006061E0"/>
    <w:rsid w:val="0060671C"/>
    <w:rsid w:val="0060681A"/>
    <w:rsid w:val="00606CC7"/>
    <w:rsid w:val="006072F8"/>
    <w:rsid w:val="0060733D"/>
    <w:rsid w:val="006113D6"/>
    <w:rsid w:val="0061348E"/>
    <w:rsid w:val="006134B2"/>
    <w:rsid w:val="0061449E"/>
    <w:rsid w:val="006144F8"/>
    <w:rsid w:val="00614560"/>
    <w:rsid w:val="00614B8A"/>
    <w:rsid w:val="00615ADC"/>
    <w:rsid w:val="006161BF"/>
    <w:rsid w:val="0061650D"/>
    <w:rsid w:val="006179A0"/>
    <w:rsid w:val="0062007E"/>
    <w:rsid w:val="0062032E"/>
    <w:rsid w:val="00620CFF"/>
    <w:rsid w:val="00621A5F"/>
    <w:rsid w:val="00621CA2"/>
    <w:rsid w:val="00622512"/>
    <w:rsid w:val="00622558"/>
    <w:rsid w:val="00622AED"/>
    <w:rsid w:val="006242D7"/>
    <w:rsid w:val="006248DA"/>
    <w:rsid w:val="00625802"/>
    <w:rsid w:val="0062623E"/>
    <w:rsid w:val="00627303"/>
    <w:rsid w:val="00627E80"/>
    <w:rsid w:val="00630270"/>
    <w:rsid w:val="00630323"/>
    <w:rsid w:val="00630C08"/>
    <w:rsid w:val="00632E5F"/>
    <w:rsid w:val="0063385D"/>
    <w:rsid w:val="00633967"/>
    <w:rsid w:val="006340DA"/>
    <w:rsid w:val="00634409"/>
    <w:rsid w:val="0063601C"/>
    <w:rsid w:val="006360EC"/>
    <w:rsid w:val="00636BE0"/>
    <w:rsid w:val="00637532"/>
    <w:rsid w:val="00637ACB"/>
    <w:rsid w:val="00640A3D"/>
    <w:rsid w:val="006417B2"/>
    <w:rsid w:val="00641976"/>
    <w:rsid w:val="0064237A"/>
    <w:rsid w:val="0064299E"/>
    <w:rsid w:val="00643CD1"/>
    <w:rsid w:val="00643FAE"/>
    <w:rsid w:val="00644A62"/>
    <w:rsid w:val="00644C26"/>
    <w:rsid w:val="0064525A"/>
    <w:rsid w:val="00645366"/>
    <w:rsid w:val="00645B3D"/>
    <w:rsid w:val="00646EC3"/>
    <w:rsid w:val="006500EF"/>
    <w:rsid w:val="0065094A"/>
    <w:rsid w:val="006517AB"/>
    <w:rsid w:val="00651E78"/>
    <w:rsid w:val="00652596"/>
    <w:rsid w:val="00653632"/>
    <w:rsid w:val="00654BD5"/>
    <w:rsid w:val="00655D67"/>
    <w:rsid w:val="00655EDC"/>
    <w:rsid w:val="00656385"/>
    <w:rsid w:val="00656D29"/>
    <w:rsid w:val="00656E8E"/>
    <w:rsid w:val="00660812"/>
    <w:rsid w:val="006613E0"/>
    <w:rsid w:val="0066156D"/>
    <w:rsid w:val="006628AD"/>
    <w:rsid w:val="00663144"/>
    <w:rsid w:val="0066339A"/>
    <w:rsid w:val="00664797"/>
    <w:rsid w:val="006647EC"/>
    <w:rsid w:val="00664A98"/>
    <w:rsid w:val="00664B44"/>
    <w:rsid w:val="0066506F"/>
    <w:rsid w:val="006702F7"/>
    <w:rsid w:val="0067051F"/>
    <w:rsid w:val="00670709"/>
    <w:rsid w:val="006726DF"/>
    <w:rsid w:val="00673DB3"/>
    <w:rsid w:val="006740DB"/>
    <w:rsid w:val="006746A2"/>
    <w:rsid w:val="0067587E"/>
    <w:rsid w:val="00675E4E"/>
    <w:rsid w:val="00677E0A"/>
    <w:rsid w:val="00680D98"/>
    <w:rsid w:val="00682232"/>
    <w:rsid w:val="00682699"/>
    <w:rsid w:val="00682971"/>
    <w:rsid w:val="00682DC2"/>
    <w:rsid w:val="00684B8F"/>
    <w:rsid w:val="00685886"/>
    <w:rsid w:val="00685973"/>
    <w:rsid w:val="00685DE9"/>
    <w:rsid w:val="00690953"/>
    <w:rsid w:val="00691894"/>
    <w:rsid w:val="006920BB"/>
    <w:rsid w:val="00692A97"/>
    <w:rsid w:val="00693BD6"/>
    <w:rsid w:val="00693E74"/>
    <w:rsid w:val="00693E8A"/>
    <w:rsid w:val="0069419E"/>
    <w:rsid w:val="00695448"/>
    <w:rsid w:val="00695DCC"/>
    <w:rsid w:val="00696D7C"/>
    <w:rsid w:val="006970BE"/>
    <w:rsid w:val="006A012E"/>
    <w:rsid w:val="006A01D3"/>
    <w:rsid w:val="006A110F"/>
    <w:rsid w:val="006A22EB"/>
    <w:rsid w:val="006A2DC5"/>
    <w:rsid w:val="006A38F3"/>
    <w:rsid w:val="006A3D16"/>
    <w:rsid w:val="006A40DE"/>
    <w:rsid w:val="006A4824"/>
    <w:rsid w:val="006A54F3"/>
    <w:rsid w:val="006A7BF3"/>
    <w:rsid w:val="006A7E00"/>
    <w:rsid w:val="006B0225"/>
    <w:rsid w:val="006B1FB3"/>
    <w:rsid w:val="006B21D6"/>
    <w:rsid w:val="006B33E0"/>
    <w:rsid w:val="006B3773"/>
    <w:rsid w:val="006B4B6C"/>
    <w:rsid w:val="006B546A"/>
    <w:rsid w:val="006B58AA"/>
    <w:rsid w:val="006B5935"/>
    <w:rsid w:val="006B70D0"/>
    <w:rsid w:val="006B7220"/>
    <w:rsid w:val="006B763B"/>
    <w:rsid w:val="006C02CD"/>
    <w:rsid w:val="006C09FF"/>
    <w:rsid w:val="006C2A1D"/>
    <w:rsid w:val="006C2B39"/>
    <w:rsid w:val="006C4295"/>
    <w:rsid w:val="006C511D"/>
    <w:rsid w:val="006C64AF"/>
    <w:rsid w:val="006C733A"/>
    <w:rsid w:val="006D0419"/>
    <w:rsid w:val="006D0A40"/>
    <w:rsid w:val="006D1961"/>
    <w:rsid w:val="006D3159"/>
    <w:rsid w:val="006D3E3F"/>
    <w:rsid w:val="006D4405"/>
    <w:rsid w:val="006D44D2"/>
    <w:rsid w:val="006D559B"/>
    <w:rsid w:val="006D64F5"/>
    <w:rsid w:val="006D6609"/>
    <w:rsid w:val="006D6ECC"/>
    <w:rsid w:val="006D6F12"/>
    <w:rsid w:val="006E0976"/>
    <w:rsid w:val="006E0D93"/>
    <w:rsid w:val="006E0EEB"/>
    <w:rsid w:val="006E1AF2"/>
    <w:rsid w:val="006E260C"/>
    <w:rsid w:val="006E3B3A"/>
    <w:rsid w:val="006E4D5E"/>
    <w:rsid w:val="006E5391"/>
    <w:rsid w:val="006E5793"/>
    <w:rsid w:val="006E5BAE"/>
    <w:rsid w:val="006E5EC0"/>
    <w:rsid w:val="006E6191"/>
    <w:rsid w:val="006E64E7"/>
    <w:rsid w:val="006E6C5A"/>
    <w:rsid w:val="006E7EED"/>
    <w:rsid w:val="006F17D3"/>
    <w:rsid w:val="006F1928"/>
    <w:rsid w:val="006F3BF3"/>
    <w:rsid w:val="006F5130"/>
    <w:rsid w:val="006F549C"/>
    <w:rsid w:val="006F551E"/>
    <w:rsid w:val="006F57F8"/>
    <w:rsid w:val="006F5D17"/>
    <w:rsid w:val="006F6F6A"/>
    <w:rsid w:val="006F7DCB"/>
    <w:rsid w:val="00700707"/>
    <w:rsid w:val="00700925"/>
    <w:rsid w:val="00700A6F"/>
    <w:rsid w:val="00701DE3"/>
    <w:rsid w:val="00701EE3"/>
    <w:rsid w:val="0070203E"/>
    <w:rsid w:val="007024B8"/>
    <w:rsid w:val="007024BA"/>
    <w:rsid w:val="007028E5"/>
    <w:rsid w:val="00703B6F"/>
    <w:rsid w:val="00703DE9"/>
    <w:rsid w:val="00703F24"/>
    <w:rsid w:val="007046C9"/>
    <w:rsid w:val="00704947"/>
    <w:rsid w:val="00704D55"/>
    <w:rsid w:val="0070530F"/>
    <w:rsid w:val="00706180"/>
    <w:rsid w:val="00706823"/>
    <w:rsid w:val="00707479"/>
    <w:rsid w:val="00707774"/>
    <w:rsid w:val="007079BA"/>
    <w:rsid w:val="0071025A"/>
    <w:rsid w:val="00710957"/>
    <w:rsid w:val="0071097C"/>
    <w:rsid w:val="00715522"/>
    <w:rsid w:val="007158B1"/>
    <w:rsid w:val="00715D63"/>
    <w:rsid w:val="0071650B"/>
    <w:rsid w:val="00717398"/>
    <w:rsid w:val="00720930"/>
    <w:rsid w:val="007212EC"/>
    <w:rsid w:val="00723973"/>
    <w:rsid w:val="00724B46"/>
    <w:rsid w:val="00724C00"/>
    <w:rsid w:val="00724CE6"/>
    <w:rsid w:val="00725342"/>
    <w:rsid w:val="00725947"/>
    <w:rsid w:val="00725BE7"/>
    <w:rsid w:val="007279AE"/>
    <w:rsid w:val="00730560"/>
    <w:rsid w:val="007311F1"/>
    <w:rsid w:val="007317D5"/>
    <w:rsid w:val="00732751"/>
    <w:rsid w:val="00732791"/>
    <w:rsid w:val="00732D3E"/>
    <w:rsid w:val="00733274"/>
    <w:rsid w:val="00733552"/>
    <w:rsid w:val="00733BEA"/>
    <w:rsid w:val="00734101"/>
    <w:rsid w:val="00734CC7"/>
    <w:rsid w:val="00735ED1"/>
    <w:rsid w:val="007365B6"/>
    <w:rsid w:val="00736817"/>
    <w:rsid w:val="0073683C"/>
    <w:rsid w:val="00736A2D"/>
    <w:rsid w:val="00737B6B"/>
    <w:rsid w:val="007410E6"/>
    <w:rsid w:val="00741F45"/>
    <w:rsid w:val="007425BA"/>
    <w:rsid w:val="00742D6A"/>
    <w:rsid w:val="0074303B"/>
    <w:rsid w:val="00743A05"/>
    <w:rsid w:val="0074455D"/>
    <w:rsid w:val="00744A6A"/>
    <w:rsid w:val="00746B2B"/>
    <w:rsid w:val="00746D6F"/>
    <w:rsid w:val="00747B2C"/>
    <w:rsid w:val="00747F36"/>
    <w:rsid w:val="0075035A"/>
    <w:rsid w:val="007507DD"/>
    <w:rsid w:val="007517D0"/>
    <w:rsid w:val="007536B3"/>
    <w:rsid w:val="00753727"/>
    <w:rsid w:val="00753A8E"/>
    <w:rsid w:val="0075402F"/>
    <w:rsid w:val="00755065"/>
    <w:rsid w:val="00755125"/>
    <w:rsid w:val="007559B9"/>
    <w:rsid w:val="00756FCF"/>
    <w:rsid w:val="007571F1"/>
    <w:rsid w:val="00757E1E"/>
    <w:rsid w:val="0076002B"/>
    <w:rsid w:val="0076046C"/>
    <w:rsid w:val="00760902"/>
    <w:rsid w:val="007611A6"/>
    <w:rsid w:val="00761C16"/>
    <w:rsid w:val="00762C66"/>
    <w:rsid w:val="00763389"/>
    <w:rsid w:val="00763703"/>
    <w:rsid w:val="00764B1E"/>
    <w:rsid w:val="007650BD"/>
    <w:rsid w:val="007654D9"/>
    <w:rsid w:val="00765A51"/>
    <w:rsid w:val="00765E61"/>
    <w:rsid w:val="00765E70"/>
    <w:rsid w:val="00766730"/>
    <w:rsid w:val="007673A7"/>
    <w:rsid w:val="0076784D"/>
    <w:rsid w:val="00767BA7"/>
    <w:rsid w:val="00771122"/>
    <w:rsid w:val="007727C2"/>
    <w:rsid w:val="00772D90"/>
    <w:rsid w:val="007734FE"/>
    <w:rsid w:val="007746D7"/>
    <w:rsid w:val="00775186"/>
    <w:rsid w:val="00776127"/>
    <w:rsid w:val="00776134"/>
    <w:rsid w:val="007779A6"/>
    <w:rsid w:val="0078016C"/>
    <w:rsid w:val="0078079D"/>
    <w:rsid w:val="00780CE1"/>
    <w:rsid w:val="0078187A"/>
    <w:rsid w:val="00782054"/>
    <w:rsid w:val="00782B93"/>
    <w:rsid w:val="00783695"/>
    <w:rsid w:val="0078378F"/>
    <w:rsid w:val="00784484"/>
    <w:rsid w:val="00784C4E"/>
    <w:rsid w:val="00784E0C"/>
    <w:rsid w:val="00784FCD"/>
    <w:rsid w:val="00785D9F"/>
    <w:rsid w:val="00785EAA"/>
    <w:rsid w:val="00785EFD"/>
    <w:rsid w:val="00790B9C"/>
    <w:rsid w:val="00790F13"/>
    <w:rsid w:val="00791376"/>
    <w:rsid w:val="00791791"/>
    <w:rsid w:val="00792092"/>
    <w:rsid w:val="00793AB9"/>
    <w:rsid w:val="00795531"/>
    <w:rsid w:val="00796026"/>
    <w:rsid w:val="007A0077"/>
    <w:rsid w:val="007A2627"/>
    <w:rsid w:val="007A2CD8"/>
    <w:rsid w:val="007A330E"/>
    <w:rsid w:val="007A379A"/>
    <w:rsid w:val="007A3CD9"/>
    <w:rsid w:val="007A407F"/>
    <w:rsid w:val="007A45C4"/>
    <w:rsid w:val="007A46D1"/>
    <w:rsid w:val="007A4DC3"/>
    <w:rsid w:val="007A616B"/>
    <w:rsid w:val="007A61BD"/>
    <w:rsid w:val="007A64C2"/>
    <w:rsid w:val="007A691F"/>
    <w:rsid w:val="007B0240"/>
    <w:rsid w:val="007B3B1C"/>
    <w:rsid w:val="007B565A"/>
    <w:rsid w:val="007B59BE"/>
    <w:rsid w:val="007B5BB3"/>
    <w:rsid w:val="007B65AC"/>
    <w:rsid w:val="007C0C95"/>
    <w:rsid w:val="007C1FA8"/>
    <w:rsid w:val="007C216C"/>
    <w:rsid w:val="007C22B8"/>
    <w:rsid w:val="007C24F5"/>
    <w:rsid w:val="007C538F"/>
    <w:rsid w:val="007C6E10"/>
    <w:rsid w:val="007C7950"/>
    <w:rsid w:val="007C7BB9"/>
    <w:rsid w:val="007D0261"/>
    <w:rsid w:val="007D1FDD"/>
    <w:rsid w:val="007D3F1F"/>
    <w:rsid w:val="007D46D1"/>
    <w:rsid w:val="007D4E0A"/>
    <w:rsid w:val="007D5915"/>
    <w:rsid w:val="007D5A59"/>
    <w:rsid w:val="007D5CDA"/>
    <w:rsid w:val="007D5D14"/>
    <w:rsid w:val="007D5E41"/>
    <w:rsid w:val="007D5F78"/>
    <w:rsid w:val="007D6093"/>
    <w:rsid w:val="007D6359"/>
    <w:rsid w:val="007D64F6"/>
    <w:rsid w:val="007D7C5D"/>
    <w:rsid w:val="007E0355"/>
    <w:rsid w:val="007E035F"/>
    <w:rsid w:val="007E0451"/>
    <w:rsid w:val="007E19FA"/>
    <w:rsid w:val="007E25BE"/>
    <w:rsid w:val="007E27E4"/>
    <w:rsid w:val="007E2A90"/>
    <w:rsid w:val="007E2D6A"/>
    <w:rsid w:val="007E31F3"/>
    <w:rsid w:val="007E3702"/>
    <w:rsid w:val="007E4101"/>
    <w:rsid w:val="007E64E4"/>
    <w:rsid w:val="007E6BAE"/>
    <w:rsid w:val="007E77CC"/>
    <w:rsid w:val="007F01D9"/>
    <w:rsid w:val="007F0B5B"/>
    <w:rsid w:val="007F22DB"/>
    <w:rsid w:val="007F238A"/>
    <w:rsid w:val="007F2B09"/>
    <w:rsid w:val="007F3265"/>
    <w:rsid w:val="007F362F"/>
    <w:rsid w:val="007F4675"/>
    <w:rsid w:val="007F5583"/>
    <w:rsid w:val="007F617C"/>
    <w:rsid w:val="007F70A9"/>
    <w:rsid w:val="007F7443"/>
    <w:rsid w:val="00801144"/>
    <w:rsid w:val="008016D8"/>
    <w:rsid w:val="00802694"/>
    <w:rsid w:val="00802B1E"/>
    <w:rsid w:val="008031FC"/>
    <w:rsid w:val="0080457C"/>
    <w:rsid w:val="008050C1"/>
    <w:rsid w:val="00805407"/>
    <w:rsid w:val="00805441"/>
    <w:rsid w:val="008055F3"/>
    <w:rsid w:val="00805B40"/>
    <w:rsid w:val="00805E32"/>
    <w:rsid w:val="00806153"/>
    <w:rsid w:val="0080617E"/>
    <w:rsid w:val="008064E4"/>
    <w:rsid w:val="00807CEE"/>
    <w:rsid w:val="00810B33"/>
    <w:rsid w:val="00810E54"/>
    <w:rsid w:val="00811F29"/>
    <w:rsid w:val="008126AB"/>
    <w:rsid w:val="00812CB9"/>
    <w:rsid w:val="00813293"/>
    <w:rsid w:val="00813859"/>
    <w:rsid w:val="00813D3A"/>
    <w:rsid w:val="008146AF"/>
    <w:rsid w:val="00815E97"/>
    <w:rsid w:val="008165AD"/>
    <w:rsid w:val="00816ED9"/>
    <w:rsid w:val="00817155"/>
    <w:rsid w:val="008176F2"/>
    <w:rsid w:val="0082142D"/>
    <w:rsid w:val="0082352D"/>
    <w:rsid w:val="00823BD5"/>
    <w:rsid w:val="008245FA"/>
    <w:rsid w:val="008249D3"/>
    <w:rsid w:val="00824B09"/>
    <w:rsid w:val="00824E2D"/>
    <w:rsid w:val="008252B2"/>
    <w:rsid w:val="00825CE7"/>
    <w:rsid w:val="00825DEA"/>
    <w:rsid w:val="00825EF5"/>
    <w:rsid w:val="00825FD6"/>
    <w:rsid w:val="00826266"/>
    <w:rsid w:val="00827CEC"/>
    <w:rsid w:val="008300ED"/>
    <w:rsid w:val="00830184"/>
    <w:rsid w:val="00830571"/>
    <w:rsid w:val="00830FC2"/>
    <w:rsid w:val="008311F3"/>
    <w:rsid w:val="008329A6"/>
    <w:rsid w:val="00832E69"/>
    <w:rsid w:val="00833BAF"/>
    <w:rsid w:val="00835714"/>
    <w:rsid w:val="008374E7"/>
    <w:rsid w:val="0084093C"/>
    <w:rsid w:val="00840B65"/>
    <w:rsid w:val="00841FDA"/>
    <w:rsid w:val="00842C8F"/>
    <w:rsid w:val="00843A31"/>
    <w:rsid w:val="00843FB8"/>
    <w:rsid w:val="008452D3"/>
    <w:rsid w:val="0084543C"/>
    <w:rsid w:val="008464B3"/>
    <w:rsid w:val="008464C4"/>
    <w:rsid w:val="00846D3E"/>
    <w:rsid w:val="008471FC"/>
    <w:rsid w:val="0084743F"/>
    <w:rsid w:val="008475F2"/>
    <w:rsid w:val="00850323"/>
    <w:rsid w:val="00850AFE"/>
    <w:rsid w:val="00850C60"/>
    <w:rsid w:val="00851A52"/>
    <w:rsid w:val="00851EBF"/>
    <w:rsid w:val="00852F67"/>
    <w:rsid w:val="00853D61"/>
    <w:rsid w:val="00854745"/>
    <w:rsid w:val="00854E0E"/>
    <w:rsid w:val="00854EF6"/>
    <w:rsid w:val="008563FD"/>
    <w:rsid w:val="00856587"/>
    <w:rsid w:val="00856B5C"/>
    <w:rsid w:val="008609F0"/>
    <w:rsid w:val="00860D05"/>
    <w:rsid w:val="00861549"/>
    <w:rsid w:val="00866A8E"/>
    <w:rsid w:val="00873023"/>
    <w:rsid w:val="0087420D"/>
    <w:rsid w:val="008745B3"/>
    <w:rsid w:val="00874FD0"/>
    <w:rsid w:val="00875A6C"/>
    <w:rsid w:val="00876967"/>
    <w:rsid w:val="00876A1F"/>
    <w:rsid w:val="00877033"/>
    <w:rsid w:val="00877CF8"/>
    <w:rsid w:val="008805D4"/>
    <w:rsid w:val="00880698"/>
    <w:rsid w:val="0088187A"/>
    <w:rsid w:val="00881E1B"/>
    <w:rsid w:val="00882049"/>
    <w:rsid w:val="00883B6B"/>
    <w:rsid w:val="00883BF8"/>
    <w:rsid w:val="00883E7E"/>
    <w:rsid w:val="00883EA5"/>
    <w:rsid w:val="00883FD9"/>
    <w:rsid w:val="0088429B"/>
    <w:rsid w:val="008858E3"/>
    <w:rsid w:val="00885E97"/>
    <w:rsid w:val="0088647E"/>
    <w:rsid w:val="00887122"/>
    <w:rsid w:val="00891822"/>
    <w:rsid w:val="00892E8E"/>
    <w:rsid w:val="0089303F"/>
    <w:rsid w:val="008930FA"/>
    <w:rsid w:val="00893871"/>
    <w:rsid w:val="00895062"/>
    <w:rsid w:val="0089566C"/>
    <w:rsid w:val="00895F5A"/>
    <w:rsid w:val="00896D4E"/>
    <w:rsid w:val="00897B8B"/>
    <w:rsid w:val="00897D6D"/>
    <w:rsid w:val="008A05CC"/>
    <w:rsid w:val="008A07F1"/>
    <w:rsid w:val="008A2F3E"/>
    <w:rsid w:val="008A33AC"/>
    <w:rsid w:val="008A3BD8"/>
    <w:rsid w:val="008A3BFD"/>
    <w:rsid w:val="008A3C75"/>
    <w:rsid w:val="008A3DA6"/>
    <w:rsid w:val="008A4499"/>
    <w:rsid w:val="008A460E"/>
    <w:rsid w:val="008A4BD8"/>
    <w:rsid w:val="008A5DEB"/>
    <w:rsid w:val="008A642E"/>
    <w:rsid w:val="008A749B"/>
    <w:rsid w:val="008A7773"/>
    <w:rsid w:val="008B02C1"/>
    <w:rsid w:val="008B03EA"/>
    <w:rsid w:val="008B1685"/>
    <w:rsid w:val="008B2224"/>
    <w:rsid w:val="008B2A2B"/>
    <w:rsid w:val="008B42F0"/>
    <w:rsid w:val="008B46B3"/>
    <w:rsid w:val="008B4D94"/>
    <w:rsid w:val="008B5322"/>
    <w:rsid w:val="008B5721"/>
    <w:rsid w:val="008B64AB"/>
    <w:rsid w:val="008B655F"/>
    <w:rsid w:val="008B6C61"/>
    <w:rsid w:val="008B6F82"/>
    <w:rsid w:val="008C186B"/>
    <w:rsid w:val="008C19FA"/>
    <w:rsid w:val="008C1EDC"/>
    <w:rsid w:val="008C2859"/>
    <w:rsid w:val="008C378D"/>
    <w:rsid w:val="008C42E2"/>
    <w:rsid w:val="008C4E71"/>
    <w:rsid w:val="008C56B1"/>
    <w:rsid w:val="008C674D"/>
    <w:rsid w:val="008C68A6"/>
    <w:rsid w:val="008C71B9"/>
    <w:rsid w:val="008C7AE6"/>
    <w:rsid w:val="008D0122"/>
    <w:rsid w:val="008D08BA"/>
    <w:rsid w:val="008D0F70"/>
    <w:rsid w:val="008D126A"/>
    <w:rsid w:val="008D2045"/>
    <w:rsid w:val="008D255C"/>
    <w:rsid w:val="008D2AC2"/>
    <w:rsid w:val="008D30FA"/>
    <w:rsid w:val="008D3E66"/>
    <w:rsid w:val="008D4386"/>
    <w:rsid w:val="008D4982"/>
    <w:rsid w:val="008E00A9"/>
    <w:rsid w:val="008E1A18"/>
    <w:rsid w:val="008E209B"/>
    <w:rsid w:val="008E2422"/>
    <w:rsid w:val="008E249F"/>
    <w:rsid w:val="008E4E3B"/>
    <w:rsid w:val="008E654C"/>
    <w:rsid w:val="008E7999"/>
    <w:rsid w:val="008F07C8"/>
    <w:rsid w:val="008F0BDF"/>
    <w:rsid w:val="008F0C3C"/>
    <w:rsid w:val="008F0E65"/>
    <w:rsid w:val="008F16AA"/>
    <w:rsid w:val="008F181C"/>
    <w:rsid w:val="008F23AC"/>
    <w:rsid w:val="008F2E49"/>
    <w:rsid w:val="008F34A1"/>
    <w:rsid w:val="008F430C"/>
    <w:rsid w:val="008F46FF"/>
    <w:rsid w:val="008F5D0C"/>
    <w:rsid w:val="008F5FBF"/>
    <w:rsid w:val="008F64A1"/>
    <w:rsid w:val="008F77E5"/>
    <w:rsid w:val="00900047"/>
    <w:rsid w:val="009003C6"/>
    <w:rsid w:val="009004C5"/>
    <w:rsid w:val="00900C3A"/>
    <w:rsid w:val="00900E04"/>
    <w:rsid w:val="00900F90"/>
    <w:rsid w:val="00902C33"/>
    <w:rsid w:val="00902E5B"/>
    <w:rsid w:val="009040A7"/>
    <w:rsid w:val="00904516"/>
    <w:rsid w:val="00904954"/>
    <w:rsid w:val="00905083"/>
    <w:rsid w:val="00905F20"/>
    <w:rsid w:val="00905F6C"/>
    <w:rsid w:val="00906BBC"/>
    <w:rsid w:val="00906BE2"/>
    <w:rsid w:val="00906D83"/>
    <w:rsid w:val="009078AF"/>
    <w:rsid w:val="0091031E"/>
    <w:rsid w:val="00913AB7"/>
    <w:rsid w:val="00913FE8"/>
    <w:rsid w:val="0091447E"/>
    <w:rsid w:val="0091470E"/>
    <w:rsid w:val="00916502"/>
    <w:rsid w:val="0091655A"/>
    <w:rsid w:val="0091656E"/>
    <w:rsid w:val="0092170E"/>
    <w:rsid w:val="00922166"/>
    <w:rsid w:val="00922827"/>
    <w:rsid w:val="00922C86"/>
    <w:rsid w:val="009262E9"/>
    <w:rsid w:val="0092648D"/>
    <w:rsid w:val="009267B8"/>
    <w:rsid w:val="00926978"/>
    <w:rsid w:val="00927964"/>
    <w:rsid w:val="009279F6"/>
    <w:rsid w:val="00930A61"/>
    <w:rsid w:val="00931947"/>
    <w:rsid w:val="00931C4C"/>
    <w:rsid w:val="00932C44"/>
    <w:rsid w:val="00932F5C"/>
    <w:rsid w:val="00933864"/>
    <w:rsid w:val="00934724"/>
    <w:rsid w:val="0093484D"/>
    <w:rsid w:val="009369EE"/>
    <w:rsid w:val="00936BE8"/>
    <w:rsid w:val="009374CF"/>
    <w:rsid w:val="0094016B"/>
    <w:rsid w:val="0094110E"/>
    <w:rsid w:val="00942743"/>
    <w:rsid w:val="00942BB9"/>
    <w:rsid w:val="00943EF2"/>
    <w:rsid w:val="0094444C"/>
    <w:rsid w:val="00944458"/>
    <w:rsid w:val="00944562"/>
    <w:rsid w:val="00944ECB"/>
    <w:rsid w:val="009461AA"/>
    <w:rsid w:val="00946B57"/>
    <w:rsid w:val="00947043"/>
    <w:rsid w:val="009479FC"/>
    <w:rsid w:val="00950734"/>
    <w:rsid w:val="00950880"/>
    <w:rsid w:val="00950FB7"/>
    <w:rsid w:val="009512BA"/>
    <w:rsid w:val="009534BE"/>
    <w:rsid w:val="00953C36"/>
    <w:rsid w:val="00953DCE"/>
    <w:rsid w:val="00954466"/>
    <w:rsid w:val="00954E50"/>
    <w:rsid w:val="00955FE2"/>
    <w:rsid w:val="009565F2"/>
    <w:rsid w:val="0095673F"/>
    <w:rsid w:val="009601C7"/>
    <w:rsid w:val="00960452"/>
    <w:rsid w:val="00960DC5"/>
    <w:rsid w:val="00961433"/>
    <w:rsid w:val="00963987"/>
    <w:rsid w:val="00963D24"/>
    <w:rsid w:val="00964076"/>
    <w:rsid w:val="00965468"/>
    <w:rsid w:val="009668A2"/>
    <w:rsid w:val="009709E0"/>
    <w:rsid w:val="00971227"/>
    <w:rsid w:val="00971773"/>
    <w:rsid w:val="00971952"/>
    <w:rsid w:val="009724A4"/>
    <w:rsid w:val="00972A9A"/>
    <w:rsid w:val="00972F2D"/>
    <w:rsid w:val="0097515F"/>
    <w:rsid w:val="0097527D"/>
    <w:rsid w:val="00975CF3"/>
    <w:rsid w:val="009769B1"/>
    <w:rsid w:val="00976FD3"/>
    <w:rsid w:val="00977B65"/>
    <w:rsid w:val="00980881"/>
    <w:rsid w:val="00980BA4"/>
    <w:rsid w:val="0098176F"/>
    <w:rsid w:val="0098194B"/>
    <w:rsid w:val="00981F94"/>
    <w:rsid w:val="00982DBC"/>
    <w:rsid w:val="00982F0E"/>
    <w:rsid w:val="009837F2"/>
    <w:rsid w:val="009846BC"/>
    <w:rsid w:val="00984790"/>
    <w:rsid w:val="00984B55"/>
    <w:rsid w:val="00985714"/>
    <w:rsid w:val="00985C33"/>
    <w:rsid w:val="009860A1"/>
    <w:rsid w:val="00986221"/>
    <w:rsid w:val="00990627"/>
    <w:rsid w:val="00990A5F"/>
    <w:rsid w:val="009914A9"/>
    <w:rsid w:val="009916DD"/>
    <w:rsid w:val="00991898"/>
    <w:rsid w:val="0099331A"/>
    <w:rsid w:val="0099467E"/>
    <w:rsid w:val="0099482F"/>
    <w:rsid w:val="0099526C"/>
    <w:rsid w:val="00995618"/>
    <w:rsid w:val="00997C22"/>
    <w:rsid w:val="00997E3C"/>
    <w:rsid w:val="009A22F6"/>
    <w:rsid w:val="009A2972"/>
    <w:rsid w:val="009A3139"/>
    <w:rsid w:val="009A475A"/>
    <w:rsid w:val="009A49BF"/>
    <w:rsid w:val="009A53BA"/>
    <w:rsid w:val="009A617C"/>
    <w:rsid w:val="009A7C63"/>
    <w:rsid w:val="009A7DF7"/>
    <w:rsid w:val="009B0232"/>
    <w:rsid w:val="009B0DA0"/>
    <w:rsid w:val="009B1533"/>
    <w:rsid w:val="009B21F4"/>
    <w:rsid w:val="009B296D"/>
    <w:rsid w:val="009B2B32"/>
    <w:rsid w:val="009B4FF1"/>
    <w:rsid w:val="009B5F1B"/>
    <w:rsid w:val="009B654A"/>
    <w:rsid w:val="009B795D"/>
    <w:rsid w:val="009B7F46"/>
    <w:rsid w:val="009C06F3"/>
    <w:rsid w:val="009C0AB4"/>
    <w:rsid w:val="009C0B6E"/>
    <w:rsid w:val="009C1287"/>
    <w:rsid w:val="009C187A"/>
    <w:rsid w:val="009C382C"/>
    <w:rsid w:val="009C39D5"/>
    <w:rsid w:val="009C4273"/>
    <w:rsid w:val="009C4922"/>
    <w:rsid w:val="009C4BCA"/>
    <w:rsid w:val="009C4D84"/>
    <w:rsid w:val="009C59AC"/>
    <w:rsid w:val="009C5D05"/>
    <w:rsid w:val="009C6526"/>
    <w:rsid w:val="009C6C9B"/>
    <w:rsid w:val="009D0559"/>
    <w:rsid w:val="009D1351"/>
    <w:rsid w:val="009D2073"/>
    <w:rsid w:val="009D27A1"/>
    <w:rsid w:val="009D31C0"/>
    <w:rsid w:val="009D3FD2"/>
    <w:rsid w:val="009D40B1"/>
    <w:rsid w:val="009D45C1"/>
    <w:rsid w:val="009D4D2B"/>
    <w:rsid w:val="009D6027"/>
    <w:rsid w:val="009D609B"/>
    <w:rsid w:val="009D6C3F"/>
    <w:rsid w:val="009D7418"/>
    <w:rsid w:val="009E1777"/>
    <w:rsid w:val="009E1E15"/>
    <w:rsid w:val="009E2467"/>
    <w:rsid w:val="009E33DD"/>
    <w:rsid w:val="009E41ED"/>
    <w:rsid w:val="009E422F"/>
    <w:rsid w:val="009E4A9C"/>
    <w:rsid w:val="009E51EC"/>
    <w:rsid w:val="009E5CD4"/>
    <w:rsid w:val="009E64FF"/>
    <w:rsid w:val="009E6662"/>
    <w:rsid w:val="009E66FB"/>
    <w:rsid w:val="009E6B5B"/>
    <w:rsid w:val="009E74C6"/>
    <w:rsid w:val="009E7D7E"/>
    <w:rsid w:val="009F00CF"/>
    <w:rsid w:val="009F1B7E"/>
    <w:rsid w:val="009F2A2F"/>
    <w:rsid w:val="009F2D11"/>
    <w:rsid w:val="009F4660"/>
    <w:rsid w:val="009F4661"/>
    <w:rsid w:val="009F5B60"/>
    <w:rsid w:val="009F7DEA"/>
    <w:rsid w:val="00A0145C"/>
    <w:rsid w:val="00A0169C"/>
    <w:rsid w:val="00A01A33"/>
    <w:rsid w:val="00A022B4"/>
    <w:rsid w:val="00A033AC"/>
    <w:rsid w:val="00A03AC8"/>
    <w:rsid w:val="00A03EF2"/>
    <w:rsid w:val="00A04E17"/>
    <w:rsid w:val="00A050A6"/>
    <w:rsid w:val="00A05478"/>
    <w:rsid w:val="00A05B6C"/>
    <w:rsid w:val="00A075CD"/>
    <w:rsid w:val="00A077A8"/>
    <w:rsid w:val="00A10E54"/>
    <w:rsid w:val="00A11553"/>
    <w:rsid w:val="00A1235D"/>
    <w:rsid w:val="00A12A1C"/>
    <w:rsid w:val="00A12D9A"/>
    <w:rsid w:val="00A140E4"/>
    <w:rsid w:val="00A16953"/>
    <w:rsid w:val="00A16E75"/>
    <w:rsid w:val="00A17115"/>
    <w:rsid w:val="00A20BBB"/>
    <w:rsid w:val="00A20CBC"/>
    <w:rsid w:val="00A21184"/>
    <w:rsid w:val="00A21668"/>
    <w:rsid w:val="00A21E58"/>
    <w:rsid w:val="00A21EE7"/>
    <w:rsid w:val="00A223D5"/>
    <w:rsid w:val="00A227AC"/>
    <w:rsid w:val="00A22FB1"/>
    <w:rsid w:val="00A23961"/>
    <w:rsid w:val="00A244FF"/>
    <w:rsid w:val="00A24556"/>
    <w:rsid w:val="00A24D0E"/>
    <w:rsid w:val="00A256F2"/>
    <w:rsid w:val="00A258DE"/>
    <w:rsid w:val="00A259B5"/>
    <w:rsid w:val="00A27461"/>
    <w:rsid w:val="00A27904"/>
    <w:rsid w:val="00A30096"/>
    <w:rsid w:val="00A32B47"/>
    <w:rsid w:val="00A33089"/>
    <w:rsid w:val="00A3323D"/>
    <w:rsid w:val="00A34DE8"/>
    <w:rsid w:val="00A3620C"/>
    <w:rsid w:val="00A362F6"/>
    <w:rsid w:val="00A376AA"/>
    <w:rsid w:val="00A40694"/>
    <w:rsid w:val="00A414FA"/>
    <w:rsid w:val="00A416B2"/>
    <w:rsid w:val="00A42543"/>
    <w:rsid w:val="00A43113"/>
    <w:rsid w:val="00A433AE"/>
    <w:rsid w:val="00A4373C"/>
    <w:rsid w:val="00A43AA8"/>
    <w:rsid w:val="00A445D2"/>
    <w:rsid w:val="00A44D74"/>
    <w:rsid w:val="00A45068"/>
    <w:rsid w:val="00A462E8"/>
    <w:rsid w:val="00A46423"/>
    <w:rsid w:val="00A4659D"/>
    <w:rsid w:val="00A465CD"/>
    <w:rsid w:val="00A46975"/>
    <w:rsid w:val="00A4733E"/>
    <w:rsid w:val="00A51193"/>
    <w:rsid w:val="00A53411"/>
    <w:rsid w:val="00A53BC4"/>
    <w:rsid w:val="00A53ECB"/>
    <w:rsid w:val="00A53EE9"/>
    <w:rsid w:val="00A54896"/>
    <w:rsid w:val="00A55646"/>
    <w:rsid w:val="00A55E38"/>
    <w:rsid w:val="00A56D22"/>
    <w:rsid w:val="00A6261B"/>
    <w:rsid w:val="00A62D91"/>
    <w:rsid w:val="00A63AAC"/>
    <w:rsid w:val="00A6400F"/>
    <w:rsid w:val="00A646B0"/>
    <w:rsid w:val="00A66390"/>
    <w:rsid w:val="00A67182"/>
    <w:rsid w:val="00A67CA2"/>
    <w:rsid w:val="00A7184D"/>
    <w:rsid w:val="00A71FA6"/>
    <w:rsid w:val="00A735BD"/>
    <w:rsid w:val="00A75E0E"/>
    <w:rsid w:val="00A75F11"/>
    <w:rsid w:val="00A76F1D"/>
    <w:rsid w:val="00A77361"/>
    <w:rsid w:val="00A77909"/>
    <w:rsid w:val="00A77D78"/>
    <w:rsid w:val="00A81D0F"/>
    <w:rsid w:val="00A82095"/>
    <w:rsid w:val="00A824AF"/>
    <w:rsid w:val="00A831F8"/>
    <w:rsid w:val="00A83BFF"/>
    <w:rsid w:val="00A84002"/>
    <w:rsid w:val="00A842F4"/>
    <w:rsid w:val="00A845D9"/>
    <w:rsid w:val="00A858CF"/>
    <w:rsid w:val="00A85DD5"/>
    <w:rsid w:val="00A876BF"/>
    <w:rsid w:val="00A87F18"/>
    <w:rsid w:val="00A90B09"/>
    <w:rsid w:val="00A90DCC"/>
    <w:rsid w:val="00A92F19"/>
    <w:rsid w:val="00A93A5F"/>
    <w:rsid w:val="00A93E0F"/>
    <w:rsid w:val="00A94749"/>
    <w:rsid w:val="00A95993"/>
    <w:rsid w:val="00A95D12"/>
    <w:rsid w:val="00A961D1"/>
    <w:rsid w:val="00A964A8"/>
    <w:rsid w:val="00A9698A"/>
    <w:rsid w:val="00A975A3"/>
    <w:rsid w:val="00A97F34"/>
    <w:rsid w:val="00AA0781"/>
    <w:rsid w:val="00AA0BB0"/>
    <w:rsid w:val="00AA1A05"/>
    <w:rsid w:val="00AA1D11"/>
    <w:rsid w:val="00AA22BF"/>
    <w:rsid w:val="00AA258D"/>
    <w:rsid w:val="00AA2A9D"/>
    <w:rsid w:val="00AA2D5F"/>
    <w:rsid w:val="00AA4FF7"/>
    <w:rsid w:val="00AA5831"/>
    <w:rsid w:val="00AA6434"/>
    <w:rsid w:val="00AA6C67"/>
    <w:rsid w:val="00AB0EC5"/>
    <w:rsid w:val="00AB1254"/>
    <w:rsid w:val="00AB2306"/>
    <w:rsid w:val="00AB2796"/>
    <w:rsid w:val="00AB28FD"/>
    <w:rsid w:val="00AB2C3C"/>
    <w:rsid w:val="00AB3D20"/>
    <w:rsid w:val="00AB4178"/>
    <w:rsid w:val="00AB4954"/>
    <w:rsid w:val="00AB5C89"/>
    <w:rsid w:val="00AB66D2"/>
    <w:rsid w:val="00AB71CA"/>
    <w:rsid w:val="00AB76E9"/>
    <w:rsid w:val="00AB7E88"/>
    <w:rsid w:val="00AB7FBB"/>
    <w:rsid w:val="00AC00D7"/>
    <w:rsid w:val="00AC00EA"/>
    <w:rsid w:val="00AC1A44"/>
    <w:rsid w:val="00AC2E0A"/>
    <w:rsid w:val="00AC2F2D"/>
    <w:rsid w:val="00AC3915"/>
    <w:rsid w:val="00AC3F1F"/>
    <w:rsid w:val="00AC40C3"/>
    <w:rsid w:val="00AC46E4"/>
    <w:rsid w:val="00AC49E9"/>
    <w:rsid w:val="00AC4A72"/>
    <w:rsid w:val="00AC4DC9"/>
    <w:rsid w:val="00AC4FC1"/>
    <w:rsid w:val="00AC7139"/>
    <w:rsid w:val="00AC78F0"/>
    <w:rsid w:val="00AC7D89"/>
    <w:rsid w:val="00AD0029"/>
    <w:rsid w:val="00AD2274"/>
    <w:rsid w:val="00AD30F8"/>
    <w:rsid w:val="00AD3A81"/>
    <w:rsid w:val="00AD47A0"/>
    <w:rsid w:val="00AD4F11"/>
    <w:rsid w:val="00AD5267"/>
    <w:rsid w:val="00AD747D"/>
    <w:rsid w:val="00AD7791"/>
    <w:rsid w:val="00AE010C"/>
    <w:rsid w:val="00AE0DF8"/>
    <w:rsid w:val="00AE19F2"/>
    <w:rsid w:val="00AE23F3"/>
    <w:rsid w:val="00AE3C80"/>
    <w:rsid w:val="00AE43AA"/>
    <w:rsid w:val="00AE514A"/>
    <w:rsid w:val="00AE5200"/>
    <w:rsid w:val="00AE5A5B"/>
    <w:rsid w:val="00AE5EB9"/>
    <w:rsid w:val="00AE698C"/>
    <w:rsid w:val="00AF07D6"/>
    <w:rsid w:val="00AF0874"/>
    <w:rsid w:val="00AF146B"/>
    <w:rsid w:val="00AF165C"/>
    <w:rsid w:val="00AF1890"/>
    <w:rsid w:val="00AF19D5"/>
    <w:rsid w:val="00AF1D0B"/>
    <w:rsid w:val="00AF3DB7"/>
    <w:rsid w:val="00AF3FB4"/>
    <w:rsid w:val="00AF40ED"/>
    <w:rsid w:val="00AF4876"/>
    <w:rsid w:val="00AF4D60"/>
    <w:rsid w:val="00AF5340"/>
    <w:rsid w:val="00AF72B7"/>
    <w:rsid w:val="00AF7306"/>
    <w:rsid w:val="00AF7895"/>
    <w:rsid w:val="00AF79F4"/>
    <w:rsid w:val="00B0011E"/>
    <w:rsid w:val="00B00AC3"/>
    <w:rsid w:val="00B03282"/>
    <w:rsid w:val="00B038D0"/>
    <w:rsid w:val="00B04A22"/>
    <w:rsid w:val="00B04D23"/>
    <w:rsid w:val="00B05164"/>
    <w:rsid w:val="00B05AFB"/>
    <w:rsid w:val="00B05C5E"/>
    <w:rsid w:val="00B0687F"/>
    <w:rsid w:val="00B077F6"/>
    <w:rsid w:val="00B078F5"/>
    <w:rsid w:val="00B07AEE"/>
    <w:rsid w:val="00B1064A"/>
    <w:rsid w:val="00B10D3D"/>
    <w:rsid w:val="00B11A81"/>
    <w:rsid w:val="00B123E8"/>
    <w:rsid w:val="00B124C5"/>
    <w:rsid w:val="00B12C18"/>
    <w:rsid w:val="00B1317C"/>
    <w:rsid w:val="00B13482"/>
    <w:rsid w:val="00B14008"/>
    <w:rsid w:val="00B1503A"/>
    <w:rsid w:val="00B15EA6"/>
    <w:rsid w:val="00B16638"/>
    <w:rsid w:val="00B1727C"/>
    <w:rsid w:val="00B17763"/>
    <w:rsid w:val="00B17797"/>
    <w:rsid w:val="00B20024"/>
    <w:rsid w:val="00B20520"/>
    <w:rsid w:val="00B21154"/>
    <w:rsid w:val="00B2115E"/>
    <w:rsid w:val="00B2174B"/>
    <w:rsid w:val="00B2267A"/>
    <w:rsid w:val="00B246B8"/>
    <w:rsid w:val="00B24BC4"/>
    <w:rsid w:val="00B25581"/>
    <w:rsid w:val="00B25D9D"/>
    <w:rsid w:val="00B25E40"/>
    <w:rsid w:val="00B26BA0"/>
    <w:rsid w:val="00B31023"/>
    <w:rsid w:val="00B31E1A"/>
    <w:rsid w:val="00B322CC"/>
    <w:rsid w:val="00B32918"/>
    <w:rsid w:val="00B337B7"/>
    <w:rsid w:val="00B338F7"/>
    <w:rsid w:val="00B34014"/>
    <w:rsid w:val="00B34E7F"/>
    <w:rsid w:val="00B36062"/>
    <w:rsid w:val="00B363EB"/>
    <w:rsid w:val="00B365FC"/>
    <w:rsid w:val="00B36C4A"/>
    <w:rsid w:val="00B37917"/>
    <w:rsid w:val="00B37A0C"/>
    <w:rsid w:val="00B40982"/>
    <w:rsid w:val="00B40A41"/>
    <w:rsid w:val="00B40F71"/>
    <w:rsid w:val="00B41308"/>
    <w:rsid w:val="00B416FC"/>
    <w:rsid w:val="00B4176F"/>
    <w:rsid w:val="00B42615"/>
    <w:rsid w:val="00B428F2"/>
    <w:rsid w:val="00B43BAA"/>
    <w:rsid w:val="00B45348"/>
    <w:rsid w:val="00B47DA2"/>
    <w:rsid w:val="00B501A1"/>
    <w:rsid w:val="00B50530"/>
    <w:rsid w:val="00B50EDA"/>
    <w:rsid w:val="00B51E6E"/>
    <w:rsid w:val="00B51F69"/>
    <w:rsid w:val="00B52A61"/>
    <w:rsid w:val="00B533D2"/>
    <w:rsid w:val="00B538E4"/>
    <w:rsid w:val="00B53956"/>
    <w:rsid w:val="00B53FA7"/>
    <w:rsid w:val="00B545E3"/>
    <w:rsid w:val="00B54771"/>
    <w:rsid w:val="00B548EA"/>
    <w:rsid w:val="00B54EF9"/>
    <w:rsid w:val="00B5501B"/>
    <w:rsid w:val="00B56685"/>
    <w:rsid w:val="00B578CF"/>
    <w:rsid w:val="00B60075"/>
    <w:rsid w:val="00B62476"/>
    <w:rsid w:val="00B637E4"/>
    <w:rsid w:val="00B63A57"/>
    <w:rsid w:val="00B63CC4"/>
    <w:rsid w:val="00B64252"/>
    <w:rsid w:val="00B642FC"/>
    <w:rsid w:val="00B65CD4"/>
    <w:rsid w:val="00B663B8"/>
    <w:rsid w:val="00B66C82"/>
    <w:rsid w:val="00B671C4"/>
    <w:rsid w:val="00B6722A"/>
    <w:rsid w:val="00B6798D"/>
    <w:rsid w:val="00B707A7"/>
    <w:rsid w:val="00B707C0"/>
    <w:rsid w:val="00B70A00"/>
    <w:rsid w:val="00B717CC"/>
    <w:rsid w:val="00B721D0"/>
    <w:rsid w:val="00B7235B"/>
    <w:rsid w:val="00B72705"/>
    <w:rsid w:val="00B72E7F"/>
    <w:rsid w:val="00B738E8"/>
    <w:rsid w:val="00B7394A"/>
    <w:rsid w:val="00B73BA7"/>
    <w:rsid w:val="00B74331"/>
    <w:rsid w:val="00B74857"/>
    <w:rsid w:val="00B761C5"/>
    <w:rsid w:val="00B764DB"/>
    <w:rsid w:val="00B80133"/>
    <w:rsid w:val="00B80C8A"/>
    <w:rsid w:val="00B81046"/>
    <w:rsid w:val="00B813E0"/>
    <w:rsid w:val="00B825C3"/>
    <w:rsid w:val="00B82FDB"/>
    <w:rsid w:val="00B84421"/>
    <w:rsid w:val="00B85698"/>
    <w:rsid w:val="00B861EF"/>
    <w:rsid w:val="00B86319"/>
    <w:rsid w:val="00B86DC5"/>
    <w:rsid w:val="00B87637"/>
    <w:rsid w:val="00B87E9A"/>
    <w:rsid w:val="00B90BF2"/>
    <w:rsid w:val="00B9218A"/>
    <w:rsid w:val="00B93559"/>
    <w:rsid w:val="00B943E4"/>
    <w:rsid w:val="00B95243"/>
    <w:rsid w:val="00BA017D"/>
    <w:rsid w:val="00BA03F1"/>
    <w:rsid w:val="00BA049A"/>
    <w:rsid w:val="00BA113B"/>
    <w:rsid w:val="00BA18EF"/>
    <w:rsid w:val="00BA2237"/>
    <w:rsid w:val="00BA2842"/>
    <w:rsid w:val="00BA2A4C"/>
    <w:rsid w:val="00BA31AF"/>
    <w:rsid w:val="00BA4088"/>
    <w:rsid w:val="00BA428A"/>
    <w:rsid w:val="00BA48E1"/>
    <w:rsid w:val="00BA4C22"/>
    <w:rsid w:val="00BA508B"/>
    <w:rsid w:val="00BA5574"/>
    <w:rsid w:val="00BA55F2"/>
    <w:rsid w:val="00BA5AC5"/>
    <w:rsid w:val="00BA6EAD"/>
    <w:rsid w:val="00BA6ED2"/>
    <w:rsid w:val="00BA729B"/>
    <w:rsid w:val="00BA7632"/>
    <w:rsid w:val="00BB2A56"/>
    <w:rsid w:val="00BB3BBA"/>
    <w:rsid w:val="00BB680E"/>
    <w:rsid w:val="00BB6E86"/>
    <w:rsid w:val="00BB7F85"/>
    <w:rsid w:val="00BC009C"/>
    <w:rsid w:val="00BC09F7"/>
    <w:rsid w:val="00BC107C"/>
    <w:rsid w:val="00BC1E17"/>
    <w:rsid w:val="00BC245A"/>
    <w:rsid w:val="00BC2830"/>
    <w:rsid w:val="00BC308D"/>
    <w:rsid w:val="00BC5521"/>
    <w:rsid w:val="00BC62A9"/>
    <w:rsid w:val="00BC64D2"/>
    <w:rsid w:val="00BC7A9D"/>
    <w:rsid w:val="00BD0043"/>
    <w:rsid w:val="00BD14E9"/>
    <w:rsid w:val="00BD1D19"/>
    <w:rsid w:val="00BD2603"/>
    <w:rsid w:val="00BD45A9"/>
    <w:rsid w:val="00BD48B7"/>
    <w:rsid w:val="00BD4F09"/>
    <w:rsid w:val="00BD553C"/>
    <w:rsid w:val="00BD56CE"/>
    <w:rsid w:val="00BD5CDE"/>
    <w:rsid w:val="00BD5DDA"/>
    <w:rsid w:val="00BD6468"/>
    <w:rsid w:val="00BD7BED"/>
    <w:rsid w:val="00BE04B5"/>
    <w:rsid w:val="00BE0AB9"/>
    <w:rsid w:val="00BE0C21"/>
    <w:rsid w:val="00BE1203"/>
    <w:rsid w:val="00BE14CE"/>
    <w:rsid w:val="00BE2173"/>
    <w:rsid w:val="00BE3773"/>
    <w:rsid w:val="00BE40CB"/>
    <w:rsid w:val="00BE4402"/>
    <w:rsid w:val="00BE4609"/>
    <w:rsid w:val="00BE6263"/>
    <w:rsid w:val="00BE6E9A"/>
    <w:rsid w:val="00BE7547"/>
    <w:rsid w:val="00BE7BDA"/>
    <w:rsid w:val="00BE7F49"/>
    <w:rsid w:val="00BF03F8"/>
    <w:rsid w:val="00BF0536"/>
    <w:rsid w:val="00BF3D47"/>
    <w:rsid w:val="00BF47E5"/>
    <w:rsid w:val="00BF4E01"/>
    <w:rsid w:val="00BF547A"/>
    <w:rsid w:val="00BF57AF"/>
    <w:rsid w:val="00BF5F0F"/>
    <w:rsid w:val="00BF5F73"/>
    <w:rsid w:val="00BF768E"/>
    <w:rsid w:val="00C003B2"/>
    <w:rsid w:val="00C00E2F"/>
    <w:rsid w:val="00C046C6"/>
    <w:rsid w:val="00C04967"/>
    <w:rsid w:val="00C05D51"/>
    <w:rsid w:val="00C06611"/>
    <w:rsid w:val="00C06E9D"/>
    <w:rsid w:val="00C106A7"/>
    <w:rsid w:val="00C12201"/>
    <w:rsid w:val="00C1243F"/>
    <w:rsid w:val="00C12819"/>
    <w:rsid w:val="00C12BAC"/>
    <w:rsid w:val="00C13AC5"/>
    <w:rsid w:val="00C14360"/>
    <w:rsid w:val="00C15324"/>
    <w:rsid w:val="00C1598B"/>
    <w:rsid w:val="00C161C3"/>
    <w:rsid w:val="00C168C2"/>
    <w:rsid w:val="00C16DB8"/>
    <w:rsid w:val="00C20203"/>
    <w:rsid w:val="00C20849"/>
    <w:rsid w:val="00C20D67"/>
    <w:rsid w:val="00C21A87"/>
    <w:rsid w:val="00C21D36"/>
    <w:rsid w:val="00C21F68"/>
    <w:rsid w:val="00C22589"/>
    <w:rsid w:val="00C22EDC"/>
    <w:rsid w:val="00C23C18"/>
    <w:rsid w:val="00C2438D"/>
    <w:rsid w:val="00C253BD"/>
    <w:rsid w:val="00C2644C"/>
    <w:rsid w:val="00C2692B"/>
    <w:rsid w:val="00C27AB9"/>
    <w:rsid w:val="00C317D6"/>
    <w:rsid w:val="00C31A61"/>
    <w:rsid w:val="00C32C9E"/>
    <w:rsid w:val="00C33203"/>
    <w:rsid w:val="00C33EB0"/>
    <w:rsid w:val="00C34E42"/>
    <w:rsid w:val="00C36737"/>
    <w:rsid w:val="00C36870"/>
    <w:rsid w:val="00C373E6"/>
    <w:rsid w:val="00C376C6"/>
    <w:rsid w:val="00C3778D"/>
    <w:rsid w:val="00C377E8"/>
    <w:rsid w:val="00C37E18"/>
    <w:rsid w:val="00C403CB"/>
    <w:rsid w:val="00C41A51"/>
    <w:rsid w:val="00C4259C"/>
    <w:rsid w:val="00C42D33"/>
    <w:rsid w:val="00C436C3"/>
    <w:rsid w:val="00C44396"/>
    <w:rsid w:val="00C44AA0"/>
    <w:rsid w:val="00C44DE0"/>
    <w:rsid w:val="00C458D4"/>
    <w:rsid w:val="00C45A4C"/>
    <w:rsid w:val="00C45A4F"/>
    <w:rsid w:val="00C476FE"/>
    <w:rsid w:val="00C518F9"/>
    <w:rsid w:val="00C52234"/>
    <w:rsid w:val="00C527C5"/>
    <w:rsid w:val="00C5389B"/>
    <w:rsid w:val="00C538A7"/>
    <w:rsid w:val="00C53BCF"/>
    <w:rsid w:val="00C54E7C"/>
    <w:rsid w:val="00C5638C"/>
    <w:rsid w:val="00C567C3"/>
    <w:rsid w:val="00C56ACB"/>
    <w:rsid w:val="00C56FF6"/>
    <w:rsid w:val="00C578EA"/>
    <w:rsid w:val="00C57B7D"/>
    <w:rsid w:val="00C57D39"/>
    <w:rsid w:val="00C60615"/>
    <w:rsid w:val="00C61B56"/>
    <w:rsid w:val="00C61F85"/>
    <w:rsid w:val="00C620E0"/>
    <w:rsid w:val="00C62801"/>
    <w:rsid w:val="00C62C59"/>
    <w:rsid w:val="00C62DD8"/>
    <w:rsid w:val="00C63090"/>
    <w:rsid w:val="00C641AB"/>
    <w:rsid w:val="00C64876"/>
    <w:rsid w:val="00C66765"/>
    <w:rsid w:val="00C66AFC"/>
    <w:rsid w:val="00C67790"/>
    <w:rsid w:val="00C67B72"/>
    <w:rsid w:val="00C7180C"/>
    <w:rsid w:val="00C71ED8"/>
    <w:rsid w:val="00C72C2E"/>
    <w:rsid w:val="00C7403D"/>
    <w:rsid w:val="00C7489A"/>
    <w:rsid w:val="00C74AA3"/>
    <w:rsid w:val="00C750CE"/>
    <w:rsid w:val="00C75AD6"/>
    <w:rsid w:val="00C760C3"/>
    <w:rsid w:val="00C77866"/>
    <w:rsid w:val="00C83123"/>
    <w:rsid w:val="00C83546"/>
    <w:rsid w:val="00C83671"/>
    <w:rsid w:val="00C8367B"/>
    <w:rsid w:val="00C84CE8"/>
    <w:rsid w:val="00C85A93"/>
    <w:rsid w:val="00C85B7C"/>
    <w:rsid w:val="00C862C1"/>
    <w:rsid w:val="00C8661A"/>
    <w:rsid w:val="00C86AC8"/>
    <w:rsid w:val="00C8701B"/>
    <w:rsid w:val="00C87ABD"/>
    <w:rsid w:val="00C87BC6"/>
    <w:rsid w:val="00C903B2"/>
    <w:rsid w:val="00C90416"/>
    <w:rsid w:val="00C912E2"/>
    <w:rsid w:val="00C91CF3"/>
    <w:rsid w:val="00C932DC"/>
    <w:rsid w:val="00C936CB"/>
    <w:rsid w:val="00C93A35"/>
    <w:rsid w:val="00C93F5F"/>
    <w:rsid w:val="00C9472D"/>
    <w:rsid w:val="00C9488B"/>
    <w:rsid w:val="00C95381"/>
    <w:rsid w:val="00C9574E"/>
    <w:rsid w:val="00C95F1C"/>
    <w:rsid w:val="00C97F61"/>
    <w:rsid w:val="00CA04C3"/>
    <w:rsid w:val="00CA0EDB"/>
    <w:rsid w:val="00CA39E1"/>
    <w:rsid w:val="00CA4678"/>
    <w:rsid w:val="00CA472D"/>
    <w:rsid w:val="00CA47AD"/>
    <w:rsid w:val="00CA4E46"/>
    <w:rsid w:val="00CA56E8"/>
    <w:rsid w:val="00CA608C"/>
    <w:rsid w:val="00CA63A7"/>
    <w:rsid w:val="00CA668A"/>
    <w:rsid w:val="00CA67F4"/>
    <w:rsid w:val="00CA6A06"/>
    <w:rsid w:val="00CA6AC7"/>
    <w:rsid w:val="00CA742B"/>
    <w:rsid w:val="00CA7C77"/>
    <w:rsid w:val="00CA7D57"/>
    <w:rsid w:val="00CB0AB6"/>
    <w:rsid w:val="00CB20AC"/>
    <w:rsid w:val="00CB23CF"/>
    <w:rsid w:val="00CB261C"/>
    <w:rsid w:val="00CB2F0D"/>
    <w:rsid w:val="00CB2F7E"/>
    <w:rsid w:val="00CB3122"/>
    <w:rsid w:val="00CB3928"/>
    <w:rsid w:val="00CB45D4"/>
    <w:rsid w:val="00CB48D5"/>
    <w:rsid w:val="00CB4DCF"/>
    <w:rsid w:val="00CB4E80"/>
    <w:rsid w:val="00CB5457"/>
    <w:rsid w:val="00CB5A35"/>
    <w:rsid w:val="00CB675B"/>
    <w:rsid w:val="00CB681A"/>
    <w:rsid w:val="00CB68E5"/>
    <w:rsid w:val="00CB74B3"/>
    <w:rsid w:val="00CC0195"/>
    <w:rsid w:val="00CC0EF6"/>
    <w:rsid w:val="00CC1841"/>
    <w:rsid w:val="00CC1AD7"/>
    <w:rsid w:val="00CC21B1"/>
    <w:rsid w:val="00CC29D2"/>
    <w:rsid w:val="00CC36EF"/>
    <w:rsid w:val="00CC3A87"/>
    <w:rsid w:val="00CC3AD6"/>
    <w:rsid w:val="00CC486E"/>
    <w:rsid w:val="00CC4B46"/>
    <w:rsid w:val="00CC6DB6"/>
    <w:rsid w:val="00CC7013"/>
    <w:rsid w:val="00CD06B0"/>
    <w:rsid w:val="00CD0B56"/>
    <w:rsid w:val="00CD0F1C"/>
    <w:rsid w:val="00CD1304"/>
    <w:rsid w:val="00CD147F"/>
    <w:rsid w:val="00CD1A5C"/>
    <w:rsid w:val="00CD2E59"/>
    <w:rsid w:val="00CD34AA"/>
    <w:rsid w:val="00CD4325"/>
    <w:rsid w:val="00CD4C4B"/>
    <w:rsid w:val="00CD555E"/>
    <w:rsid w:val="00CD6872"/>
    <w:rsid w:val="00CD6895"/>
    <w:rsid w:val="00CD70F4"/>
    <w:rsid w:val="00CD73B0"/>
    <w:rsid w:val="00CD76E3"/>
    <w:rsid w:val="00CD7F5A"/>
    <w:rsid w:val="00CE112F"/>
    <w:rsid w:val="00CE1431"/>
    <w:rsid w:val="00CE23E3"/>
    <w:rsid w:val="00CE30EB"/>
    <w:rsid w:val="00CE3B89"/>
    <w:rsid w:val="00CE40A1"/>
    <w:rsid w:val="00CE4548"/>
    <w:rsid w:val="00CE4EDE"/>
    <w:rsid w:val="00CF10F0"/>
    <w:rsid w:val="00CF2069"/>
    <w:rsid w:val="00CF27ED"/>
    <w:rsid w:val="00CF3E92"/>
    <w:rsid w:val="00CF4855"/>
    <w:rsid w:val="00D00C27"/>
    <w:rsid w:val="00D01F2F"/>
    <w:rsid w:val="00D02886"/>
    <w:rsid w:val="00D02949"/>
    <w:rsid w:val="00D03E40"/>
    <w:rsid w:val="00D046D0"/>
    <w:rsid w:val="00D053B1"/>
    <w:rsid w:val="00D06377"/>
    <w:rsid w:val="00D0660C"/>
    <w:rsid w:val="00D10A6F"/>
    <w:rsid w:val="00D11217"/>
    <w:rsid w:val="00D117A5"/>
    <w:rsid w:val="00D124B5"/>
    <w:rsid w:val="00D12D01"/>
    <w:rsid w:val="00D1451E"/>
    <w:rsid w:val="00D14686"/>
    <w:rsid w:val="00D14884"/>
    <w:rsid w:val="00D14F60"/>
    <w:rsid w:val="00D15527"/>
    <w:rsid w:val="00D15D52"/>
    <w:rsid w:val="00D162C9"/>
    <w:rsid w:val="00D1676A"/>
    <w:rsid w:val="00D205CC"/>
    <w:rsid w:val="00D22930"/>
    <w:rsid w:val="00D22EE5"/>
    <w:rsid w:val="00D2352D"/>
    <w:rsid w:val="00D24C7D"/>
    <w:rsid w:val="00D2532A"/>
    <w:rsid w:val="00D26858"/>
    <w:rsid w:val="00D272D1"/>
    <w:rsid w:val="00D2734C"/>
    <w:rsid w:val="00D277E8"/>
    <w:rsid w:val="00D27D52"/>
    <w:rsid w:val="00D27F13"/>
    <w:rsid w:val="00D3125E"/>
    <w:rsid w:val="00D3131C"/>
    <w:rsid w:val="00D31546"/>
    <w:rsid w:val="00D3245A"/>
    <w:rsid w:val="00D3292B"/>
    <w:rsid w:val="00D330E0"/>
    <w:rsid w:val="00D34125"/>
    <w:rsid w:val="00D342C1"/>
    <w:rsid w:val="00D35485"/>
    <w:rsid w:val="00D35A4E"/>
    <w:rsid w:val="00D364FE"/>
    <w:rsid w:val="00D37128"/>
    <w:rsid w:val="00D412D7"/>
    <w:rsid w:val="00D41408"/>
    <w:rsid w:val="00D41C41"/>
    <w:rsid w:val="00D4337B"/>
    <w:rsid w:val="00D43623"/>
    <w:rsid w:val="00D43858"/>
    <w:rsid w:val="00D447FC"/>
    <w:rsid w:val="00D4528E"/>
    <w:rsid w:val="00D4569E"/>
    <w:rsid w:val="00D45D31"/>
    <w:rsid w:val="00D45D39"/>
    <w:rsid w:val="00D467BF"/>
    <w:rsid w:val="00D469E1"/>
    <w:rsid w:val="00D46A9F"/>
    <w:rsid w:val="00D46C63"/>
    <w:rsid w:val="00D472A0"/>
    <w:rsid w:val="00D472E5"/>
    <w:rsid w:val="00D474C6"/>
    <w:rsid w:val="00D478C4"/>
    <w:rsid w:val="00D47C4A"/>
    <w:rsid w:val="00D47D38"/>
    <w:rsid w:val="00D516B0"/>
    <w:rsid w:val="00D521C4"/>
    <w:rsid w:val="00D52594"/>
    <w:rsid w:val="00D526B5"/>
    <w:rsid w:val="00D535B4"/>
    <w:rsid w:val="00D5449A"/>
    <w:rsid w:val="00D54CBD"/>
    <w:rsid w:val="00D54F70"/>
    <w:rsid w:val="00D56BD1"/>
    <w:rsid w:val="00D56F57"/>
    <w:rsid w:val="00D6046C"/>
    <w:rsid w:val="00D60596"/>
    <w:rsid w:val="00D607D6"/>
    <w:rsid w:val="00D60C5A"/>
    <w:rsid w:val="00D61278"/>
    <w:rsid w:val="00D61A17"/>
    <w:rsid w:val="00D63685"/>
    <w:rsid w:val="00D644C5"/>
    <w:rsid w:val="00D651D9"/>
    <w:rsid w:val="00D708EB"/>
    <w:rsid w:val="00D70AD6"/>
    <w:rsid w:val="00D710F4"/>
    <w:rsid w:val="00D71ABC"/>
    <w:rsid w:val="00D72B76"/>
    <w:rsid w:val="00D73BB9"/>
    <w:rsid w:val="00D744A8"/>
    <w:rsid w:val="00D74F4B"/>
    <w:rsid w:val="00D75018"/>
    <w:rsid w:val="00D753A8"/>
    <w:rsid w:val="00D75DFD"/>
    <w:rsid w:val="00D7614F"/>
    <w:rsid w:val="00D76984"/>
    <w:rsid w:val="00D77238"/>
    <w:rsid w:val="00D77314"/>
    <w:rsid w:val="00D8028B"/>
    <w:rsid w:val="00D805B0"/>
    <w:rsid w:val="00D80A68"/>
    <w:rsid w:val="00D80A85"/>
    <w:rsid w:val="00D825B7"/>
    <w:rsid w:val="00D82CAF"/>
    <w:rsid w:val="00D83417"/>
    <w:rsid w:val="00D839D0"/>
    <w:rsid w:val="00D83C66"/>
    <w:rsid w:val="00D842E3"/>
    <w:rsid w:val="00D853F1"/>
    <w:rsid w:val="00D85A20"/>
    <w:rsid w:val="00D860DA"/>
    <w:rsid w:val="00D86A99"/>
    <w:rsid w:val="00D86C84"/>
    <w:rsid w:val="00D86FA9"/>
    <w:rsid w:val="00D87181"/>
    <w:rsid w:val="00D8783F"/>
    <w:rsid w:val="00D902AF"/>
    <w:rsid w:val="00D90B24"/>
    <w:rsid w:val="00D9195E"/>
    <w:rsid w:val="00D93203"/>
    <w:rsid w:val="00D936B8"/>
    <w:rsid w:val="00D9404D"/>
    <w:rsid w:val="00D9431B"/>
    <w:rsid w:val="00D946CA"/>
    <w:rsid w:val="00D9488E"/>
    <w:rsid w:val="00D94D8D"/>
    <w:rsid w:val="00D94DFF"/>
    <w:rsid w:val="00D950D0"/>
    <w:rsid w:val="00D97328"/>
    <w:rsid w:val="00D976B8"/>
    <w:rsid w:val="00DA060C"/>
    <w:rsid w:val="00DA0B96"/>
    <w:rsid w:val="00DA1339"/>
    <w:rsid w:val="00DA1477"/>
    <w:rsid w:val="00DA178F"/>
    <w:rsid w:val="00DA3E3E"/>
    <w:rsid w:val="00DA51A0"/>
    <w:rsid w:val="00DA6003"/>
    <w:rsid w:val="00DA699B"/>
    <w:rsid w:val="00DA6BD8"/>
    <w:rsid w:val="00DA6C2C"/>
    <w:rsid w:val="00DA6C53"/>
    <w:rsid w:val="00DA6F5D"/>
    <w:rsid w:val="00DB00DF"/>
    <w:rsid w:val="00DB060A"/>
    <w:rsid w:val="00DB2184"/>
    <w:rsid w:val="00DB2F10"/>
    <w:rsid w:val="00DB3E76"/>
    <w:rsid w:val="00DB5AAB"/>
    <w:rsid w:val="00DB5E8D"/>
    <w:rsid w:val="00DB6979"/>
    <w:rsid w:val="00DB6E5D"/>
    <w:rsid w:val="00DB6F01"/>
    <w:rsid w:val="00DC04C0"/>
    <w:rsid w:val="00DC086C"/>
    <w:rsid w:val="00DC235C"/>
    <w:rsid w:val="00DC2450"/>
    <w:rsid w:val="00DC2715"/>
    <w:rsid w:val="00DC3DCC"/>
    <w:rsid w:val="00DC3E5E"/>
    <w:rsid w:val="00DC487C"/>
    <w:rsid w:val="00DC4897"/>
    <w:rsid w:val="00DC4D14"/>
    <w:rsid w:val="00DC4F74"/>
    <w:rsid w:val="00DC4F98"/>
    <w:rsid w:val="00DC585B"/>
    <w:rsid w:val="00DC59A5"/>
    <w:rsid w:val="00DC5CC4"/>
    <w:rsid w:val="00DC6FFA"/>
    <w:rsid w:val="00DC7577"/>
    <w:rsid w:val="00DC779E"/>
    <w:rsid w:val="00DC792F"/>
    <w:rsid w:val="00DD10CF"/>
    <w:rsid w:val="00DD15DA"/>
    <w:rsid w:val="00DD31F6"/>
    <w:rsid w:val="00DD3873"/>
    <w:rsid w:val="00DD40CC"/>
    <w:rsid w:val="00DD4AFD"/>
    <w:rsid w:val="00DD4BCF"/>
    <w:rsid w:val="00DD6260"/>
    <w:rsid w:val="00DD6510"/>
    <w:rsid w:val="00DE03CC"/>
    <w:rsid w:val="00DE1575"/>
    <w:rsid w:val="00DE1952"/>
    <w:rsid w:val="00DE1994"/>
    <w:rsid w:val="00DE1B3A"/>
    <w:rsid w:val="00DE1EB6"/>
    <w:rsid w:val="00DE24EC"/>
    <w:rsid w:val="00DE27C9"/>
    <w:rsid w:val="00DE3D5C"/>
    <w:rsid w:val="00DE43B7"/>
    <w:rsid w:val="00DE4487"/>
    <w:rsid w:val="00DE45B1"/>
    <w:rsid w:val="00DE45F9"/>
    <w:rsid w:val="00DE48F2"/>
    <w:rsid w:val="00DE4A5D"/>
    <w:rsid w:val="00DE5979"/>
    <w:rsid w:val="00DE602E"/>
    <w:rsid w:val="00DE6177"/>
    <w:rsid w:val="00DE61C7"/>
    <w:rsid w:val="00DE7C2E"/>
    <w:rsid w:val="00DE7DF4"/>
    <w:rsid w:val="00DF162C"/>
    <w:rsid w:val="00DF165F"/>
    <w:rsid w:val="00DF1844"/>
    <w:rsid w:val="00DF32E7"/>
    <w:rsid w:val="00DF36F7"/>
    <w:rsid w:val="00DF453E"/>
    <w:rsid w:val="00DF5225"/>
    <w:rsid w:val="00DF6029"/>
    <w:rsid w:val="00DF61F4"/>
    <w:rsid w:val="00E00068"/>
    <w:rsid w:val="00E00860"/>
    <w:rsid w:val="00E01231"/>
    <w:rsid w:val="00E012BB"/>
    <w:rsid w:val="00E014E4"/>
    <w:rsid w:val="00E02D8F"/>
    <w:rsid w:val="00E046B8"/>
    <w:rsid w:val="00E053D3"/>
    <w:rsid w:val="00E05588"/>
    <w:rsid w:val="00E066FF"/>
    <w:rsid w:val="00E06770"/>
    <w:rsid w:val="00E07D35"/>
    <w:rsid w:val="00E07F17"/>
    <w:rsid w:val="00E1026A"/>
    <w:rsid w:val="00E104BF"/>
    <w:rsid w:val="00E1085C"/>
    <w:rsid w:val="00E10C50"/>
    <w:rsid w:val="00E10CA5"/>
    <w:rsid w:val="00E13007"/>
    <w:rsid w:val="00E13727"/>
    <w:rsid w:val="00E13FD0"/>
    <w:rsid w:val="00E16B66"/>
    <w:rsid w:val="00E16E14"/>
    <w:rsid w:val="00E1723B"/>
    <w:rsid w:val="00E178FF"/>
    <w:rsid w:val="00E17C63"/>
    <w:rsid w:val="00E20E83"/>
    <w:rsid w:val="00E21534"/>
    <w:rsid w:val="00E2211B"/>
    <w:rsid w:val="00E222F4"/>
    <w:rsid w:val="00E235CA"/>
    <w:rsid w:val="00E24F59"/>
    <w:rsid w:val="00E26A25"/>
    <w:rsid w:val="00E26F3F"/>
    <w:rsid w:val="00E27278"/>
    <w:rsid w:val="00E2745C"/>
    <w:rsid w:val="00E30B50"/>
    <w:rsid w:val="00E31A16"/>
    <w:rsid w:val="00E32A95"/>
    <w:rsid w:val="00E32BC7"/>
    <w:rsid w:val="00E33B30"/>
    <w:rsid w:val="00E33BA3"/>
    <w:rsid w:val="00E33F0D"/>
    <w:rsid w:val="00E34FF5"/>
    <w:rsid w:val="00E351AE"/>
    <w:rsid w:val="00E3570F"/>
    <w:rsid w:val="00E35F7F"/>
    <w:rsid w:val="00E3707A"/>
    <w:rsid w:val="00E37197"/>
    <w:rsid w:val="00E37BC8"/>
    <w:rsid w:val="00E37F7F"/>
    <w:rsid w:val="00E407A7"/>
    <w:rsid w:val="00E40A55"/>
    <w:rsid w:val="00E41880"/>
    <w:rsid w:val="00E42033"/>
    <w:rsid w:val="00E4248A"/>
    <w:rsid w:val="00E42961"/>
    <w:rsid w:val="00E436F6"/>
    <w:rsid w:val="00E43F31"/>
    <w:rsid w:val="00E43FC8"/>
    <w:rsid w:val="00E442E3"/>
    <w:rsid w:val="00E46F70"/>
    <w:rsid w:val="00E471B2"/>
    <w:rsid w:val="00E50DF7"/>
    <w:rsid w:val="00E525A6"/>
    <w:rsid w:val="00E53291"/>
    <w:rsid w:val="00E53848"/>
    <w:rsid w:val="00E54004"/>
    <w:rsid w:val="00E543F4"/>
    <w:rsid w:val="00E5523B"/>
    <w:rsid w:val="00E5565A"/>
    <w:rsid w:val="00E55923"/>
    <w:rsid w:val="00E56E35"/>
    <w:rsid w:val="00E57D0E"/>
    <w:rsid w:val="00E623B2"/>
    <w:rsid w:val="00E62403"/>
    <w:rsid w:val="00E6395A"/>
    <w:rsid w:val="00E63EDE"/>
    <w:rsid w:val="00E65115"/>
    <w:rsid w:val="00E651D1"/>
    <w:rsid w:val="00E65E57"/>
    <w:rsid w:val="00E66535"/>
    <w:rsid w:val="00E66EB1"/>
    <w:rsid w:val="00E67E9A"/>
    <w:rsid w:val="00E7092C"/>
    <w:rsid w:val="00E715DA"/>
    <w:rsid w:val="00E7176E"/>
    <w:rsid w:val="00E71A6A"/>
    <w:rsid w:val="00E72690"/>
    <w:rsid w:val="00E72931"/>
    <w:rsid w:val="00E770C8"/>
    <w:rsid w:val="00E77873"/>
    <w:rsid w:val="00E77CCA"/>
    <w:rsid w:val="00E77CD1"/>
    <w:rsid w:val="00E80C78"/>
    <w:rsid w:val="00E81305"/>
    <w:rsid w:val="00E81434"/>
    <w:rsid w:val="00E81596"/>
    <w:rsid w:val="00E83F3B"/>
    <w:rsid w:val="00E83FD1"/>
    <w:rsid w:val="00E840D6"/>
    <w:rsid w:val="00E84247"/>
    <w:rsid w:val="00E85054"/>
    <w:rsid w:val="00E856A9"/>
    <w:rsid w:val="00E86049"/>
    <w:rsid w:val="00E867A2"/>
    <w:rsid w:val="00E867CF"/>
    <w:rsid w:val="00E8693B"/>
    <w:rsid w:val="00E86E53"/>
    <w:rsid w:val="00E86FB5"/>
    <w:rsid w:val="00E9237E"/>
    <w:rsid w:val="00E9346F"/>
    <w:rsid w:val="00E93AC6"/>
    <w:rsid w:val="00E9421E"/>
    <w:rsid w:val="00E94401"/>
    <w:rsid w:val="00E945E9"/>
    <w:rsid w:val="00E946CC"/>
    <w:rsid w:val="00E94CD5"/>
    <w:rsid w:val="00E96F25"/>
    <w:rsid w:val="00EA0AC1"/>
    <w:rsid w:val="00EA0D2D"/>
    <w:rsid w:val="00EA2445"/>
    <w:rsid w:val="00EA26C0"/>
    <w:rsid w:val="00EA27A9"/>
    <w:rsid w:val="00EA2F83"/>
    <w:rsid w:val="00EA30B6"/>
    <w:rsid w:val="00EA3CB7"/>
    <w:rsid w:val="00EA488E"/>
    <w:rsid w:val="00EA60E8"/>
    <w:rsid w:val="00EA6AA8"/>
    <w:rsid w:val="00EA6BAE"/>
    <w:rsid w:val="00EA6EB6"/>
    <w:rsid w:val="00EB0F56"/>
    <w:rsid w:val="00EB124E"/>
    <w:rsid w:val="00EB2852"/>
    <w:rsid w:val="00EB4422"/>
    <w:rsid w:val="00EB4E13"/>
    <w:rsid w:val="00EB5922"/>
    <w:rsid w:val="00EB5FDC"/>
    <w:rsid w:val="00EB61E8"/>
    <w:rsid w:val="00EB64C2"/>
    <w:rsid w:val="00EB650B"/>
    <w:rsid w:val="00EB7CE1"/>
    <w:rsid w:val="00EC25C4"/>
    <w:rsid w:val="00EC3152"/>
    <w:rsid w:val="00EC316D"/>
    <w:rsid w:val="00EC3B78"/>
    <w:rsid w:val="00EC4CD5"/>
    <w:rsid w:val="00EC61D8"/>
    <w:rsid w:val="00ED02FB"/>
    <w:rsid w:val="00ED09CF"/>
    <w:rsid w:val="00ED10D1"/>
    <w:rsid w:val="00ED2B2E"/>
    <w:rsid w:val="00ED2C48"/>
    <w:rsid w:val="00ED3680"/>
    <w:rsid w:val="00ED6041"/>
    <w:rsid w:val="00ED632E"/>
    <w:rsid w:val="00ED7E91"/>
    <w:rsid w:val="00EE0B45"/>
    <w:rsid w:val="00EE1018"/>
    <w:rsid w:val="00EE102B"/>
    <w:rsid w:val="00EE1337"/>
    <w:rsid w:val="00EE30C1"/>
    <w:rsid w:val="00EE3595"/>
    <w:rsid w:val="00EE3D22"/>
    <w:rsid w:val="00EE4ACC"/>
    <w:rsid w:val="00EE4CFC"/>
    <w:rsid w:val="00EE4EBE"/>
    <w:rsid w:val="00EE4FC4"/>
    <w:rsid w:val="00EE5305"/>
    <w:rsid w:val="00EE6F17"/>
    <w:rsid w:val="00EE7979"/>
    <w:rsid w:val="00EE7D41"/>
    <w:rsid w:val="00EF0D85"/>
    <w:rsid w:val="00EF3527"/>
    <w:rsid w:val="00EF4E18"/>
    <w:rsid w:val="00EF604F"/>
    <w:rsid w:val="00EF754B"/>
    <w:rsid w:val="00EF7F00"/>
    <w:rsid w:val="00F00227"/>
    <w:rsid w:val="00F00E1B"/>
    <w:rsid w:val="00F00FE4"/>
    <w:rsid w:val="00F02E3B"/>
    <w:rsid w:val="00F03F1C"/>
    <w:rsid w:val="00F04DD0"/>
    <w:rsid w:val="00F04E28"/>
    <w:rsid w:val="00F050A4"/>
    <w:rsid w:val="00F05138"/>
    <w:rsid w:val="00F06915"/>
    <w:rsid w:val="00F06978"/>
    <w:rsid w:val="00F10124"/>
    <w:rsid w:val="00F10B03"/>
    <w:rsid w:val="00F10BCE"/>
    <w:rsid w:val="00F11D56"/>
    <w:rsid w:val="00F11EBE"/>
    <w:rsid w:val="00F12F7A"/>
    <w:rsid w:val="00F13B47"/>
    <w:rsid w:val="00F14884"/>
    <w:rsid w:val="00F14A03"/>
    <w:rsid w:val="00F14F39"/>
    <w:rsid w:val="00F14FA9"/>
    <w:rsid w:val="00F15A21"/>
    <w:rsid w:val="00F16467"/>
    <w:rsid w:val="00F16B3F"/>
    <w:rsid w:val="00F17CEA"/>
    <w:rsid w:val="00F17EB2"/>
    <w:rsid w:val="00F2088D"/>
    <w:rsid w:val="00F20D2B"/>
    <w:rsid w:val="00F216F0"/>
    <w:rsid w:val="00F2224C"/>
    <w:rsid w:val="00F22542"/>
    <w:rsid w:val="00F227C4"/>
    <w:rsid w:val="00F229BF"/>
    <w:rsid w:val="00F22AA5"/>
    <w:rsid w:val="00F23C2F"/>
    <w:rsid w:val="00F23C71"/>
    <w:rsid w:val="00F24056"/>
    <w:rsid w:val="00F244EF"/>
    <w:rsid w:val="00F254BC"/>
    <w:rsid w:val="00F26191"/>
    <w:rsid w:val="00F2794C"/>
    <w:rsid w:val="00F31655"/>
    <w:rsid w:val="00F31B62"/>
    <w:rsid w:val="00F32B12"/>
    <w:rsid w:val="00F33244"/>
    <w:rsid w:val="00F3354E"/>
    <w:rsid w:val="00F34FF6"/>
    <w:rsid w:val="00F35042"/>
    <w:rsid w:val="00F3578D"/>
    <w:rsid w:val="00F35B23"/>
    <w:rsid w:val="00F35DE0"/>
    <w:rsid w:val="00F36A14"/>
    <w:rsid w:val="00F37AFA"/>
    <w:rsid w:val="00F37CC3"/>
    <w:rsid w:val="00F4062C"/>
    <w:rsid w:val="00F41804"/>
    <w:rsid w:val="00F41C1A"/>
    <w:rsid w:val="00F422EF"/>
    <w:rsid w:val="00F43BB4"/>
    <w:rsid w:val="00F440D9"/>
    <w:rsid w:val="00F445AC"/>
    <w:rsid w:val="00F452E9"/>
    <w:rsid w:val="00F45EB8"/>
    <w:rsid w:val="00F466D1"/>
    <w:rsid w:val="00F46B31"/>
    <w:rsid w:val="00F4729D"/>
    <w:rsid w:val="00F47F3E"/>
    <w:rsid w:val="00F502BC"/>
    <w:rsid w:val="00F503BC"/>
    <w:rsid w:val="00F50A21"/>
    <w:rsid w:val="00F50C61"/>
    <w:rsid w:val="00F546C6"/>
    <w:rsid w:val="00F54E69"/>
    <w:rsid w:val="00F5524E"/>
    <w:rsid w:val="00F56152"/>
    <w:rsid w:val="00F56A6C"/>
    <w:rsid w:val="00F56D61"/>
    <w:rsid w:val="00F57591"/>
    <w:rsid w:val="00F5773B"/>
    <w:rsid w:val="00F57E64"/>
    <w:rsid w:val="00F60093"/>
    <w:rsid w:val="00F602BA"/>
    <w:rsid w:val="00F604B6"/>
    <w:rsid w:val="00F606B4"/>
    <w:rsid w:val="00F606E7"/>
    <w:rsid w:val="00F616DB"/>
    <w:rsid w:val="00F6172E"/>
    <w:rsid w:val="00F61DEE"/>
    <w:rsid w:val="00F62CA1"/>
    <w:rsid w:val="00F63BE3"/>
    <w:rsid w:val="00F6416D"/>
    <w:rsid w:val="00F668B5"/>
    <w:rsid w:val="00F671D3"/>
    <w:rsid w:val="00F674B3"/>
    <w:rsid w:val="00F67DA3"/>
    <w:rsid w:val="00F70391"/>
    <w:rsid w:val="00F706DC"/>
    <w:rsid w:val="00F70F9C"/>
    <w:rsid w:val="00F7160F"/>
    <w:rsid w:val="00F718E8"/>
    <w:rsid w:val="00F71EC7"/>
    <w:rsid w:val="00F72CA1"/>
    <w:rsid w:val="00F72F9F"/>
    <w:rsid w:val="00F73BB3"/>
    <w:rsid w:val="00F7507A"/>
    <w:rsid w:val="00F754EE"/>
    <w:rsid w:val="00F7588E"/>
    <w:rsid w:val="00F76A03"/>
    <w:rsid w:val="00F776EA"/>
    <w:rsid w:val="00F8027C"/>
    <w:rsid w:val="00F81575"/>
    <w:rsid w:val="00F827EF"/>
    <w:rsid w:val="00F82ACC"/>
    <w:rsid w:val="00F83E02"/>
    <w:rsid w:val="00F83EE0"/>
    <w:rsid w:val="00F84BAA"/>
    <w:rsid w:val="00F8687A"/>
    <w:rsid w:val="00F873C6"/>
    <w:rsid w:val="00F87C6D"/>
    <w:rsid w:val="00F87F38"/>
    <w:rsid w:val="00F90566"/>
    <w:rsid w:val="00F90BAD"/>
    <w:rsid w:val="00F914DA"/>
    <w:rsid w:val="00F91D24"/>
    <w:rsid w:val="00F91F86"/>
    <w:rsid w:val="00F9258E"/>
    <w:rsid w:val="00F92BC5"/>
    <w:rsid w:val="00F92DDA"/>
    <w:rsid w:val="00F936FE"/>
    <w:rsid w:val="00F93994"/>
    <w:rsid w:val="00F93D14"/>
    <w:rsid w:val="00F949BC"/>
    <w:rsid w:val="00F94B04"/>
    <w:rsid w:val="00F94FAC"/>
    <w:rsid w:val="00F950CC"/>
    <w:rsid w:val="00F95344"/>
    <w:rsid w:val="00F95F4C"/>
    <w:rsid w:val="00F9608A"/>
    <w:rsid w:val="00F9753E"/>
    <w:rsid w:val="00F97AAB"/>
    <w:rsid w:val="00F97E78"/>
    <w:rsid w:val="00FA01C9"/>
    <w:rsid w:val="00FA02A9"/>
    <w:rsid w:val="00FA048F"/>
    <w:rsid w:val="00FA0A02"/>
    <w:rsid w:val="00FA1018"/>
    <w:rsid w:val="00FA1610"/>
    <w:rsid w:val="00FA23D7"/>
    <w:rsid w:val="00FA2AA3"/>
    <w:rsid w:val="00FA2F40"/>
    <w:rsid w:val="00FA307B"/>
    <w:rsid w:val="00FA3613"/>
    <w:rsid w:val="00FA39B3"/>
    <w:rsid w:val="00FA4257"/>
    <w:rsid w:val="00FA4DDD"/>
    <w:rsid w:val="00FA563F"/>
    <w:rsid w:val="00FA6731"/>
    <w:rsid w:val="00FA743F"/>
    <w:rsid w:val="00FA789D"/>
    <w:rsid w:val="00FB0285"/>
    <w:rsid w:val="00FB0647"/>
    <w:rsid w:val="00FB0661"/>
    <w:rsid w:val="00FB1747"/>
    <w:rsid w:val="00FB1EE0"/>
    <w:rsid w:val="00FB205B"/>
    <w:rsid w:val="00FB3219"/>
    <w:rsid w:val="00FB4300"/>
    <w:rsid w:val="00FB48A4"/>
    <w:rsid w:val="00FB5346"/>
    <w:rsid w:val="00FB5A81"/>
    <w:rsid w:val="00FB69AB"/>
    <w:rsid w:val="00FB7397"/>
    <w:rsid w:val="00FC1379"/>
    <w:rsid w:val="00FC2AC5"/>
    <w:rsid w:val="00FC33E7"/>
    <w:rsid w:val="00FC3CDF"/>
    <w:rsid w:val="00FC41DC"/>
    <w:rsid w:val="00FC41F2"/>
    <w:rsid w:val="00FC467D"/>
    <w:rsid w:val="00FC58F3"/>
    <w:rsid w:val="00FC6166"/>
    <w:rsid w:val="00FC666E"/>
    <w:rsid w:val="00FC6701"/>
    <w:rsid w:val="00FC6C05"/>
    <w:rsid w:val="00FC7BB3"/>
    <w:rsid w:val="00FD04EA"/>
    <w:rsid w:val="00FD11AC"/>
    <w:rsid w:val="00FD1DF1"/>
    <w:rsid w:val="00FD284A"/>
    <w:rsid w:val="00FD2B52"/>
    <w:rsid w:val="00FD3AFB"/>
    <w:rsid w:val="00FD3F81"/>
    <w:rsid w:val="00FD4197"/>
    <w:rsid w:val="00FD4C77"/>
    <w:rsid w:val="00FD4F67"/>
    <w:rsid w:val="00FD5F57"/>
    <w:rsid w:val="00FD7187"/>
    <w:rsid w:val="00FD7B58"/>
    <w:rsid w:val="00FE021E"/>
    <w:rsid w:val="00FE12FE"/>
    <w:rsid w:val="00FE2789"/>
    <w:rsid w:val="00FE2D87"/>
    <w:rsid w:val="00FE2E78"/>
    <w:rsid w:val="00FE2FE8"/>
    <w:rsid w:val="00FE399C"/>
    <w:rsid w:val="00FE4236"/>
    <w:rsid w:val="00FE4B31"/>
    <w:rsid w:val="00FE4F75"/>
    <w:rsid w:val="00FE53F5"/>
    <w:rsid w:val="00FF0AE9"/>
    <w:rsid w:val="00FF0D63"/>
    <w:rsid w:val="00FF19F9"/>
    <w:rsid w:val="00FF1F2E"/>
    <w:rsid w:val="00FF2001"/>
    <w:rsid w:val="00FF2D03"/>
    <w:rsid w:val="00FF53CF"/>
    <w:rsid w:val="00FF5AA5"/>
    <w:rsid w:val="00FF601B"/>
    <w:rsid w:val="00FF64DE"/>
    <w:rsid w:val="00FF6D9B"/>
    <w:rsid w:val="00FF7C64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21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9739">
                          <w:marLeft w:val="216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102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1E86E-830E-4A66-8523-E66570F30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2C112-BAA7-47F4-ABBC-6E54FE28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8DA46-2CC4-49C9-8959-8236A1E3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FB0EA8-2D73-48C4-A700-9562F100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11238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admin</cp:lastModifiedBy>
  <cp:revision>4</cp:revision>
  <cp:lastPrinted>2014-08-21T20:03:00Z</cp:lastPrinted>
  <dcterms:created xsi:type="dcterms:W3CDTF">2014-10-11T09:42:00Z</dcterms:created>
  <dcterms:modified xsi:type="dcterms:W3CDTF">2014-10-11T10:46:00Z</dcterms:modified>
</cp:coreProperties>
</file>