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91" w:rsidRDefault="00AD7791" w:rsidP="00AD7791">
      <w:pPr>
        <w:pStyle w:val="TableTitle"/>
        <w:tabs>
          <w:tab w:val="left" w:pos="1080"/>
        </w:tabs>
        <w:spacing w:after="20"/>
      </w:pPr>
      <w:bookmarkStart w:id="0" w:name="_Ref365363115"/>
      <w:bookmarkStart w:id="1" w:name="_Toc363826550"/>
      <w:bookmarkStart w:id="2" w:name="_Toc365038548"/>
      <w:r w:rsidRPr="00CA04C3">
        <w:t>Table C-</w:t>
      </w:r>
      <w:r>
        <w:rPr>
          <w:noProof/>
        </w:rPr>
        <w:t>7</w:t>
      </w:r>
      <w:bookmarkEnd w:id="0"/>
      <w:r w:rsidRPr="00CA04C3">
        <w:t>.</w:t>
      </w:r>
      <w:r w:rsidRPr="00CA04C3">
        <w:tab/>
        <w:t>Reported data: CT versus ERUS for preoperative primary rectal staging T</w:t>
      </w:r>
      <w:bookmarkEnd w:id="1"/>
      <w:bookmarkEnd w:id="2"/>
    </w:p>
    <w:tbl>
      <w:tblPr>
        <w:tblW w:w="130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66"/>
        <w:gridCol w:w="1316"/>
        <w:gridCol w:w="1397"/>
        <w:gridCol w:w="1310"/>
        <w:gridCol w:w="1135"/>
        <w:gridCol w:w="562"/>
        <w:gridCol w:w="818"/>
        <w:gridCol w:w="818"/>
        <w:gridCol w:w="818"/>
        <w:gridCol w:w="818"/>
        <w:gridCol w:w="818"/>
        <w:gridCol w:w="818"/>
        <w:gridCol w:w="818"/>
      </w:tblGrid>
      <w:tr w:rsidR="0004190F" w:rsidRPr="00F6416D" w:rsidTr="004566F5">
        <w:trPr>
          <w:cantSplit/>
          <w:trHeight w:val="826"/>
          <w:tblHeader/>
        </w:trPr>
        <w:tc>
          <w:tcPr>
            <w:tcW w:w="15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F6416D" w:rsidRDefault="00AD7791" w:rsidP="00AD7791">
            <w:pPr>
              <w:pStyle w:val="TableText"/>
              <w:spacing w:before="30" w:after="15"/>
              <w:rPr>
                <w:b/>
              </w:rPr>
            </w:pPr>
            <w:r>
              <w:rPr>
                <w:b/>
              </w:rPr>
              <w:t>Study, N patients, Author’s C</w:t>
            </w:r>
            <w:r w:rsidRPr="00F6416D">
              <w:rPr>
                <w:b/>
              </w:rPr>
              <w:t>onclusion</w:t>
            </w:r>
          </w:p>
        </w:tc>
        <w:tc>
          <w:tcPr>
            <w:tcW w:w="131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F6416D" w:rsidRDefault="00AD7791" w:rsidP="00AD7791">
            <w:pPr>
              <w:tabs>
                <w:tab w:val="left" w:pos="17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Outcomes</w:t>
            </w:r>
          </w:p>
        </w:tc>
        <w:tc>
          <w:tcPr>
            <w:tcW w:w="139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Default="00AD7791" w:rsidP="00AD7791">
            <w:pPr>
              <w:pStyle w:val="TableText"/>
              <w:spacing w:before="30" w:after="15"/>
              <w:jc w:val="center"/>
              <w:rPr>
                <w:b/>
              </w:rPr>
            </w:pPr>
            <w:r>
              <w:rPr>
                <w:b/>
              </w:rPr>
              <w:t>CT</w:t>
            </w:r>
          </w:p>
          <w:p w:rsidR="00AD7791" w:rsidRPr="00F6416D" w:rsidRDefault="00AD7791" w:rsidP="00AD7791">
            <w:pPr>
              <w:pStyle w:val="TableText"/>
              <w:spacing w:before="30" w:after="15"/>
              <w:jc w:val="center"/>
              <w:rPr>
                <w:b/>
              </w:rPr>
            </w:pPr>
            <w:r w:rsidRPr="00F6416D">
              <w:rPr>
                <w:b/>
              </w:rPr>
              <w:t>Reported T</w:t>
            </w:r>
            <w:r>
              <w:rPr>
                <w:b/>
              </w:rPr>
              <w:t> </w:t>
            </w:r>
            <w:r w:rsidRPr="00F6416D">
              <w:rPr>
                <w:b/>
              </w:rPr>
              <w:t>Stage Data</w:t>
            </w:r>
          </w:p>
        </w:tc>
        <w:tc>
          <w:tcPr>
            <w:tcW w:w="13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Default="00AD7791" w:rsidP="00AD7791">
            <w:pPr>
              <w:pStyle w:val="TableText"/>
              <w:spacing w:before="30" w:after="15"/>
              <w:jc w:val="center"/>
              <w:rPr>
                <w:b/>
              </w:rPr>
            </w:pPr>
            <w:r>
              <w:rPr>
                <w:b/>
              </w:rPr>
              <w:t>ERUS</w:t>
            </w:r>
          </w:p>
          <w:p w:rsidR="00AD7791" w:rsidRPr="00F6416D" w:rsidRDefault="00AD7791" w:rsidP="00AD7791">
            <w:pPr>
              <w:pStyle w:val="TableText"/>
              <w:spacing w:before="30" w:after="15"/>
              <w:jc w:val="center"/>
              <w:rPr>
                <w:b/>
              </w:rPr>
            </w:pPr>
            <w:r w:rsidRPr="00F6416D">
              <w:rPr>
                <w:b/>
              </w:rPr>
              <w:t>Reported T</w:t>
            </w:r>
            <w:r>
              <w:rPr>
                <w:b/>
              </w:rPr>
              <w:t> </w:t>
            </w:r>
            <w:r w:rsidRPr="00F6416D">
              <w:rPr>
                <w:b/>
              </w:rPr>
              <w:t>Stage Data</w:t>
            </w:r>
          </w:p>
        </w:tc>
        <w:tc>
          <w:tcPr>
            <w:tcW w:w="113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F6416D" w:rsidRDefault="00AD7791" w:rsidP="00AD7791">
            <w:pPr>
              <w:pStyle w:val="TableText"/>
              <w:spacing w:before="30" w:after="15"/>
              <w:rPr>
                <w:b/>
              </w:rPr>
            </w:pPr>
            <w:r w:rsidRPr="00F6416D">
              <w:rPr>
                <w:b/>
              </w:rPr>
              <w:t>T stage</w:t>
            </w:r>
            <w:r>
              <w:rPr>
                <w:b/>
              </w:rPr>
              <w:t xml:space="preserve"> by Pathology</w:t>
            </w:r>
          </w:p>
        </w:tc>
        <w:tc>
          <w:tcPr>
            <w:tcW w:w="56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  <w:rPr>
                <w:b/>
              </w:rPr>
            </w:pPr>
            <w:r w:rsidRPr="00F6416D">
              <w:rPr>
                <w:b/>
              </w:rPr>
              <w:t>CT</w:t>
            </w:r>
          </w:p>
          <w:p w:rsidR="00AD7791" w:rsidRPr="00F6416D" w:rsidRDefault="00AD7791" w:rsidP="00AD7791">
            <w:pPr>
              <w:pStyle w:val="TableText"/>
              <w:spacing w:before="30" w:after="15"/>
              <w:jc w:val="center"/>
              <w:rPr>
                <w:b/>
              </w:rPr>
            </w:pPr>
            <w:r w:rsidRPr="00F6416D">
              <w:rPr>
                <w:b/>
              </w:rPr>
              <w:t>T1</w:t>
            </w:r>
          </w:p>
        </w:tc>
        <w:tc>
          <w:tcPr>
            <w:tcW w:w="8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  <w:rPr>
                <w:b/>
              </w:rPr>
            </w:pPr>
            <w:r w:rsidRPr="00F6416D">
              <w:rPr>
                <w:b/>
              </w:rPr>
              <w:t>CT</w:t>
            </w:r>
          </w:p>
          <w:p w:rsidR="00AD7791" w:rsidRPr="00F6416D" w:rsidRDefault="00AD7791" w:rsidP="00AD7791">
            <w:pPr>
              <w:pStyle w:val="TableText"/>
              <w:spacing w:before="30" w:after="15"/>
              <w:jc w:val="center"/>
              <w:rPr>
                <w:b/>
              </w:rPr>
            </w:pPr>
            <w:r w:rsidRPr="00F6416D">
              <w:rPr>
                <w:b/>
              </w:rPr>
              <w:t>T2</w:t>
            </w:r>
          </w:p>
        </w:tc>
        <w:tc>
          <w:tcPr>
            <w:tcW w:w="8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  <w:rPr>
                <w:b/>
              </w:rPr>
            </w:pPr>
            <w:r w:rsidRPr="00F6416D">
              <w:rPr>
                <w:b/>
              </w:rPr>
              <w:t>CT</w:t>
            </w:r>
          </w:p>
          <w:p w:rsidR="00AD7791" w:rsidRPr="00F6416D" w:rsidRDefault="00AD7791" w:rsidP="00AD7791">
            <w:pPr>
              <w:pStyle w:val="TableText"/>
              <w:spacing w:before="30" w:after="15"/>
              <w:jc w:val="center"/>
              <w:rPr>
                <w:b/>
              </w:rPr>
            </w:pPr>
            <w:r w:rsidRPr="00F6416D">
              <w:rPr>
                <w:b/>
              </w:rPr>
              <w:t>T3</w:t>
            </w:r>
          </w:p>
        </w:tc>
        <w:tc>
          <w:tcPr>
            <w:tcW w:w="8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  <w:rPr>
                <w:b/>
              </w:rPr>
            </w:pPr>
            <w:r w:rsidRPr="00F6416D">
              <w:rPr>
                <w:b/>
              </w:rPr>
              <w:t>CT</w:t>
            </w:r>
          </w:p>
          <w:p w:rsidR="00AD7791" w:rsidRPr="00F6416D" w:rsidRDefault="00AD7791" w:rsidP="00AD7791">
            <w:pPr>
              <w:pStyle w:val="TableText"/>
              <w:spacing w:before="30" w:after="15"/>
              <w:jc w:val="center"/>
              <w:rPr>
                <w:b/>
              </w:rPr>
            </w:pPr>
            <w:r w:rsidRPr="00F6416D">
              <w:rPr>
                <w:b/>
              </w:rPr>
              <w:t>T4</w:t>
            </w:r>
          </w:p>
        </w:tc>
        <w:tc>
          <w:tcPr>
            <w:tcW w:w="8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  <w:rPr>
                <w:b/>
              </w:rPr>
            </w:pPr>
            <w:r w:rsidRPr="00F6416D">
              <w:rPr>
                <w:b/>
              </w:rPr>
              <w:t>ERUS</w:t>
            </w:r>
          </w:p>
          <w:p w:rsidR="00AD7791" w:rsidRPr="00F6416D" w:rsidRDefault="00AD7791" w:rsidP="00AD7791">
            <w:pPr>
              <w:pStyle w:val="TableText"/>
              <w:spacing w:before="30" w:after="15"/>
              <w:jc w:val="center"/>
              <w:rPr>
                <w:b/>
              </w:rPr>
            </w:pPr>
            <w:r w:rsidRPr="00F6416D">
              <w:rPr>
                <w:b/>
              </w:rPr>
              <w:t>T1</w:t>
            </w:r>
          </w:p>
        </w:tc>
        <w:tc>
          <w:tcPr>
            <w:tcW w:w="8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  <w:rPr>
                <w:b/>
              </w:rPr>
            </w:pPr>
            <w:r w:rsidRPr="00F6416D">
              <w:rPr>
                <w:b/>
              </w:rPr>
              <w:t>ERUS</w:t>
            </w:r>
          </w:p>
          <w:p w:rsidR="00AD7791" w:rsidRPr="00F6416D" w:rsidRDefault="00AD7791" w:rsidP="00AD7791">
            <w:pPr>
              <w:pStyle w:val="TableText"/>
              <w:spacing w:before="30" w:after="15"/>
              <w:jc w:val="center"/>
              <w:rPr>
                <w:b/>
              </w:rPr>
            </w:pPr>
            <w:r w:rsidRPr="00F6416D">
              <w:rPr>
                <w:b/>
              </w:rPr>
              <w:t>T2</w:t>
            </w:r>
          </w:p>
        </w:tc>
        <w:tc>
          <w:tcPr>
            <w:tcW w:w="8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  <w:rPr>
                <w:b/>
              </w:rPr>
            </w:pPr>
            <w:r w:rsidRPr="00F6416D">
              <w:rPr>
                <w:b/>
              </w:rPr>
              <w:t>ERUS</w:t>
            </w:r>
          </w:p>
          <w:p w:rsidR="00AD7791" w:rsidRPr="00F6416D" w:rsidRDefault="00AD7791" w:rsidP="00AD7791">
            <w:pPr>
              <w:pStyle w:val="TableText"/>
              <w:spacing w:before="30" w:after="15"/>
              <w:jc w:val="center"/>
              <w:rPr>
                <w:b/>
              </w:rPr>
            </w:pPr>
            <w:r w:rsidRPr="00F6416D">
              <w:rPr>
                <w:b/>
              </w:rPr>
              <w:t>T3</w:t>
            </w:r>
          </w:p>
        </w:tc>
        <w:tc>
          <w:tcPr>
            <w:tcW w:w="8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  <w:rPr>
                <w:b/>
              </w:rPr>
            </w:pPr>
            <w:r w:rsidRPr="00F6416D">
              <w:rPr>
                <w:b/>
              </w:rPr>
              <w:t>ERUS</w:t>
            </w:r>
          </w:p>
          <w:p w:rsidR="00AD7791" w:rsidRPr="00F6416D" w:rsidRDefault="00AD7791" w:rsidP="00AD7791">
            <w:pPr>
              <w:pStyle w:val="TableText"/>
              <w:spacing w:before="30" w:after="15"/>
              <w:jc w:val="center"/>
              <w:rPr>
                <w:b/>
              </w:rPr>
            </w:pPr>
            <w:r w:rsidRPr="00F6416D">
              <w:rPr>
                <w:b/>
              </w:rPr>
              <w:t>T4</w:t>
            </w:r>
          </w:p>
        </w:tc>
      </w:tr>
      <w:tr w:rsidR="00AD7791" w:rsidRPr="00F6416D" w:rsidTr="00EC25C4">
        <w:trPr>
          <w:cantSplit/>
          <w:trHeight w:val="20"/>
        </w:trPr>
        <w:tc>
          <w:tcPr>
            <w:tcW w:w="1566" w:type="dxa"/>
            <w:vMerge w:val="restart"/>
            <w:tcBorders>
              <w:top w:val="doub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</w:pPr>
            <w:r w:rsidRPr="00F6416D">
              <w:t xml:space="preserve">Ju et al. </w:t>
            </w:r>
            <w:r>
              <w:br/>
            </w:r>
            <w:r w:rsidRPr="00F6416D">
              <w:t>2009</w:t>
            </w:r>
            <w:r w:rsidRPr="00215F35">
              <w:rPr>
                <w:vertAlign w:val="superscript"/>
              </w:rPr>
              <w:t>99</w:t>
            </w:r>
          </w:p>
          <w:p w:rsidR="00AD7791" w:rsidRPr="00F6416D" w:rsidRDefault="00AD7791" w:rsidP="00AD7791">
            <w:pPr>
              <w:pStyle w:val="TableText"/>
              <w:spacing w:before="30" w:after="15"/>
            </w:pPr>
            <w:r w:rsidRPr="00F6416D">
              <w:t>78 patients</w:t>
            </w:r>
          </w:p>
          <w:p w:rsidR="00AD7791" w:rsidRPr="00F6416D" w:rsidRDefault="00AD7791" w:rsidP="00AD7791">
            <w:pPr>
              <w:pStyle w:val="TableText"/>
              <w:spacing w:before="240" w:after="15"/>
            </w:pPr>
            <w:r w:rsidRPr="00F6416D">
              <w:t xml:space="preserve">Conclusion: </w:t>
            </w:r>
            <w:r w:rsidRPr="0028749E">
              <w:rPr>
                <w:b/>
              </w:rPr>
              <w:t>ERUS is better</w:t>
            </w: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</w:pPr>
            <w:r w:rsidRPr="00F6416D">
              <w:t>Accuracy</w:t>
            </w:r>
          </w:p>
        </w:tc>
        <w:tc>
          <w:tcPr>
            <w:tcW w:w="1397" w:type="dxa"/>
            <w:tcBorders>
              <w:top w:val="doub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70.5%</w:t>
            </w:r>
          </w:p>
        </w:tc>
        <w:tc>
          <w:tcPr>
            <w:tcW w:w="1310" w:type="dxa"/>
            <w:tcBorders>
              <w:top w:val="doub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84.6%</w:t>
            </w:r>
          </w:p>
        </w:tc>
        <w:tc>
          <w:tcPr>
            <w:tcW w:w="1135" w:type="dxa"/>
            <w:tcBorders>
              <w:top w:val="doub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T1</w:t>
            </w:r>
          </w:p>
        </w:tc>
        <w:tc>
          <w:tcPr>
            <w:tcW w:w="562" w:type="dxa"/>
            <w:tcBorders>
              <w:top w:val="doub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0</w:t>
            </w:r>
          </w:p>
        </w:tc>
        <w:tc>
          <w:tcPr>
            <w:tcW w:w="818" w:type="dxa"/>
            <w:tcBorders>
              <w:top w:val="doub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7</w:t>
            </w:r>
          </w:p>
        </w:tc>
        <w:tc>
          <w:tcPr>
            <w:tcW w:w="818" w:type="dxa"/>
            <w:tcBorders>
              <w:top w:val="doub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0</w:t>
            </w:r>
          </w:p>
        </w:tc>
        <w:tc>
          <w:tcPr>
            <w:tcW w:w="818" w:type="dxa"/>
            <w:tcBorders>
              <w:top w:val="doub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18" w:type="dxa"/>
            <w:tcBorders>
              <w:top w:val="doub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7</w:t>
            </w:r>
          </w:p>
        </w:tc>
        <w:tc>
          <w:tcPr>
            <w:tcW w:w="818" w:type="dxa"/>
            <w:tcBorders>
              <w:top w:val="doub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18" w:type="dxa"/>
            <w:tcBorders>
              <w:top w:val="doub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18" w:type="dxa"/>
            <w:tcBorders>
              <w:top w:val="doub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</w:tr>
      <w:tr w:rsidR="00AD7791" w:rsidRPr="00F6416D" w:rsidTr="00EC25C4">
        <w:trPr>
          <w:cantSplit/>
          <w:trHeight w:val="20"/>
        </w:trPr>
        <w:tc>
          <w:tcPr>
            <w:tcW w:w="1566" w:type="dxa"/>
            <w:vMerge/>
          </w:tcPr>
          <w:p w:rsidR="00AD7791" w:rsidRPr="00F6416D" w:rsidRDefault="00AD7791" w:rsidP="00AD7791">
            <w:pPr>
              <w:pStyle w:val="TableText"/>
              <w:spacing w:before="30" w:after="15"/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</w:pPr>
            <w:r w:rsidRPr="00F6416D">
              <w:t>T1/T2 vs. T3/T4</w:t>
            </w:r>
          </w:p>
          <w:p w:rsidR="00AD7791" w:rsidRPr="00F6416D" w:rsidRDefault="00AD7791" w:rsidP="00AD7791">
            <w:pPr>
              <w:pStyle w:val="TableText"/>
              <w:spacing w:before="30" w:after="15"/>
            </w:pPr>
            <w:r w:rsidRPr="00F6416D">
              <w:t>Sensitivity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84.8%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93.4%</w:t>
            </w:r>
          </w:p>
        </w:tc>
        <w:tc>
          <w:tcPr>
            <w:tcW w:w="1135" w:type="dxa"/>
          </w:tcPr>
          <w:p w:rsidR="00AD7791" w:rsidRPr="00F6416D" w:rsidRDefault="00AD7791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T2</w:t>
            </w:r>
          </w:p>
        </w:tc>
        <w:tc>
          <w:tcPr>
            <w:tcW w:w="562" w:type="dxa"/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18" w:type="dxa"/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16</w:t>
            </w:r>
          </w:p>
        </w:tc>
        <w:tc>
          <w:tcPr>
            <w:tcW w:w="818" w:type="dxa"/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9</w:t>
            </w:r>
          </w:p>
        </w:tc>
        <w:tc>
          <w:tcPr>
            <w:tcW w:w="818" w:type="dxa"/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18" w:type="dxa"/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2</w:t>
            </w:r>
          </w:p>
        </w:tc>
        <w:tc>
          <w:tcPr>
            <w:tcW w:w="818" w:type="dxa"/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21</w:t>
            </w:r>
          </w:p>
        </w:tc>
        <w:tc>
          <w:tcPr>
            <w:tcW w:w="818" w:type="dxa"/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2</w:t>
            </w:r>
          </w:p>
        </w:tc>
        <w:tc>
          <w:tcPr>
            <w:tcW w:w="818" w:type="dxa"/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</w:tr>
      <w:tr w:rsidR="00AD7791" w:rsidRPr="00F6416D" w:rsidTr="00EC25C4">
        <w:trPr>
          <w:cantSplit/>
          <w:trHeight w:val="20"/>
        </w:trPr>
        <w:tc>
          <w:tcPr>
            <w:tcW w:w="1566" w:type="dxa"/>
            <w:vMerge/>
          </w:tcPr>
          <w:p w:rsidR="00AD7791" w:rsidRPr="00F6416D" w:rsidRDefault="00AD7791" w:rsidP="00AD7791">
            <w:pPr>
              <w:pStyle w:val="TableText"/>
              <w:spacing w:before="30" w:after="15"/>
            </w:pPr>
          </w:p>
        </w:tc>
        <w:tc>
          <w:tcPr>
            <w:tcW w:w="1316" w:type="dxa"/>
            <w:vMerge w:val="restart"/>
            <w:tcBorders>
              <w:bottom w:val="nil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</w:pPr>
            <w:r w:rsidRPr="00F6416D">
              <w:t>T1/T2 vs. T3/T4</w:t>
            </w:r>
          </w:p>
          <w:p w:rsidR="00AD7791" w:rsidRPr="00F6416D" w:rsidRDefault="00AD7791" w:rsidP="00AD7791">
            <w:pPr>
              <w:pStyle w:val="TableText"/>
              <w:spacing w:before="30" w:after="15"/>
            </w:pPr>
            <w:r w:rsidRPr="00F6416D">
              <w:t>Specificity</w:t>
            </w:r>
          </w:p>
        </w:tc>
        <w:tc>
          <w:tcPr>
            <w:tcW w:w="1397" w:type="dxa"/>
            <w:vMerge w:val="restart"/>
            <w:tcBorders>
              <w:bottom w:val="nil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71.9%</w:t>
            </w:r>
          </w:p>
        </w:tc>
        <w:tc>
          <w:tcPr>
            <w:tcW w:w="1310" w:type="dxa"/>
            <w:vMerge w:val="restart"/>
            <w:tcBorders>
              <w:bottom w:val="nil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93.8%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T3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7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22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4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2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27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2</w:t>
            </w:r>
          </w:p>
        </w:tc>
      </w:tr>
      <w:tr w:rsidR="00AD7791" w:rsidRPr="00F6416D" w:rsidTr="00EC25C4">
        <w:trPr>
          <w:cantSplit/>
          <w:trHeight w:val="20"/>
        </w:trPr>
        <w:tc>
          <w:tcPr>
            <w:tcW w:w="1566" w:type="dxa"/>
            <w:vMerge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</w:pPr>
          </w:p>
        </w:tc>
        <w:tc>
          <w:tcPr>
            <w:tcW w:w="1316" w:type="dxa"/>
            <w:vMerge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T4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3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10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2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11</w:t>
            </w:r>
          </w:p>
        </w:tc>
      </w:tr>
      <w:tr w:rsidR="00AD7791" w:rsidRPr="00F6416D" w:rsidTr="00EC25C4">
        <w:trPr>
          <w:cantSplit/>
          <w:trHeight w:val="20"/>
        </w:trPr>
        <w:tc>
          <w:tcPr>
            <w:tcW w:w="1566" w:type="dxa"/>
            <w:vMerge w:val="restart"/>
            <w:tcBorders>
              <w:top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</w:pPr>
            <w:r w:rsidRPr="00F6416D">
              <w:t xml:space="preserve">Kim et al. </w:t>
            </w:r>
            <w:r>
              <w:br/>
            </w:r>
            <w:r w:rsidRPr="00F6416D">
              <w:t>1999</w:t>
            </w:r>
            <w:r w:rsidRPr="00215F35">
              <w:rPr>
                <w:vertAlign w:val="superscript"/>
              </w:rPr>
              <w:t>100</w:t>
            </w:r>
          </w:p>
          <w:p w:rsidR="00AD7791" w:rsidRPr="00F6416D" w:rsidRDefault="00AD7791" w:rsidP="00AD7791">
            <w:pPr>
              <w:pStyle w:val="TableText"/>
              <w:spacing w:before="30" w:after="15"/>
            </w:pPr>
            <w:r w:rsidRPr="00F6416D">
              <w:t>89 patients had ERUS, of these 69 also had CT</w:t>
            </w:r>
          </w:p>
          <w:p w:rsidR="00AD7791" w:rsidRPr="00F6416D" w:rsidRDefault="00AD7791" w:rsidP="00AD7791">
            <w:pPr>
              <w:pStyle w:val="TableText"/>
              <w:spacing w:before="240" w:after="15"/>
            </w:pPr>
            <w:r w:rsidRPr="00F6416D">
              <w:t xml:space="preserve">Conclusion: </w:t>
            </w:r>
            <w:r w:rsidRPr="0028749E">
              <w:rPr>
                <w:b/>
              </w:rPr>
              <w:t>ERUS is better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</w:pPr>
            <w:r w:rsidRPr="00F6416D">
              <w:t>Accuracy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65.2%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81.1%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T1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</w:tr>
      <w:tr w:rsidR="00AD7791" w:rsidRPr="00F6416D" w:rsidTr="00EC25C4">
        <w:trPr>
          <w:cantSplit/>
          <w:trHeight w:val="20"/>
        </w:trPr>
        <w:tc>
          <w:tcPr>
            <w:tcW w:w="1566" w:type="dxa"/>
            <w:vMerge/>
          </w:tcPr>
          <w:p w:rsidR="00AD7791" w:rsidRPr="00F6416D" w:rsidRDefault="00AD7791" w:rsidP="00AD7791">
            <w:pPr>
              <w:pStyle w:val="TableText"/>
              <w:spacing w:before="30" w:after="15"/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</w:pPr>
            <w:r w:rsidRPr="00F6416D">
              <w:t>Overstaging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12/69 (17.4%)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9/89 (10.0%)</w:t>
            </w:r>
          </w:p>
        </w:tc>
        <w:tc>
          <w:tcPr>
            <w:tcW w:w="1135" w:type="dxa"/>
          </w:tcPr>
          <w:p w:rsidR="00AD7791" w:rsidRPr="00F6416D" w:rsidRDefault="00AD7791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T2</w:t>
            </w:r>
          </w:p>
        </w:tc>
        <w:tc>
          <w:tcPr>
            <w:tcW w:w="562" w:type="dxa"/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</w:tr>
      <w:tr w:rsidR="00AD7791" w:rsidRPr="00F6416D" w:rsidTr="00EC25C4">
        <w:trPr>
          <w:cantSplit/>
          <w:trHeight w:val="20"/>
        </w:trPr>
        <w:tc>
          <w:tcPr>
            <w:tcW w:w="1566" w:type="dxa"/>
            <w:vMerge/>
          </w:tcPr>
          <w:p w:rsidR="00AD7791" w:rsidRPr="00F6416D" w:rsidRDefault="00AD7791" w:rsidP="00AD7791">
            <w:pPr>
              <w:pStyle w:val="TableText"/>
              <w:spacing w:before="30" w:after="15"/>
            </w:pPr>
          </w:p>
        </w:tc>
        <w:tc>
          <w:tcPr>
            <w:tcW w:w="1316" w:type="dxa"/>
            <w:vMerge w:val="restart"/>
          </w:tcPr>
          <w:p w:rsidR="00AD7791" w:rsidRPr="00F6416D" w:rsidRDefault="00AD7791" w:rsidP="00AD7791">
            <w:pPr>
              <w:pStyle w:val="TableText"/>
              <w:spacing w:before="30" w:after="15"/>
            </w:pPr>
            <w:r w:rsidRPr="00F6416D">
              <w:t>Understaging</w:t>
            </w:r>
          </w:p>
        </w:tc>
        <w:tc>
          <w:tcPr>
            <w:tcW w:w="1397" w:type="dxa"/>
            <w:vMerge w:val="restart"/>
            <w:tcBorders>
              <w:bottom w:val="nil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12/69 (17.4%)</w:t>
            </w:r>
          </w:p>
        </w:tc>
        <w:tc>
          <w:tcPr>
            <w:tcW w:w="1310" w:type="dxa"/>
            <w:vMerge w:val="restart"/>
            <w:tcBorders>
              <w:bottom w:val="nil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8/89 (8.9%)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T3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</w:tr>
      <w:tr w:rsidR="00AD7791" w:rsidRPr="00F6416D" w:rsidTr="00EC25C4">
        <w:trPr>
          <w:cantSplit/>
          <w:trHeight w:val="20"/>
        </w:trPr>
        <w:tc>
          <w:tcPr>
            <w:tcW w:w="1566" w:type="dxa"/>
            <w:vMerge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</w:pPr>
          </w:p>
        </w:tc>
        <w:tc>
          <w:tcPr>
            <w:tcW w:w="1316" w:type="dxa"/>
            <w:vMerge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T4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</w:tr>
      <w:tr w:rsidR="00AD7791" w:rsidRPr="00F6416D" w:rsidTr="00EC25C4">
        <w:trPr>
          <w:cantSplit/>
          <w:trHeight w:val="20"/>
        </w:trPr>
        <w:tc>
          <w:tcPr>
            <w:tcW w:w="1566" w:type="dxa"/>
            <w:vMerge w:val="restart"/>
            <w:tcBorders>
              <w:top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</w:pPr>
            <w:r w:rsidRPr="00F6416D">
              <w:t>Ramana et al. 1997</w:t>
            </w:r>
            <w:r w:rsidRPr="00215F35">
              <w:rPr>
                <w:vertAlign w:val="superscript"/>
              </w:rPr>
              <w:t>102</w:t>
            </w:r>
          </w:p>
          <w:p w:rsidR="00AD7791" w:rsidRPr="00F6416D" w:rsidRDefault="00AD7791" w:rsidP="00AD7791">
            <w:pPr>
              <w:pStyle w:val="TableText"/>
              <w:spacing w:before="30" w:after="15"/>
            </w:pPr>
            <w:r w:rsidRPr="00F6416D">
              <w:t>10 patients</w:t>
            </w:r>
          </w:p>
          <w:p w:rsidR="00AD7791" w:rsidRPr="00F6416D" w:rsidRDefault="00AD7791" w:rsidP="00AD7791">
            <w:pPr>
              <w:pStyle w:val="TableText"/>
              <w:spacing w:before="240" w:after="15"/>
            </w:pPr>
            <w:r w:rsidRPr="00F6416D">
              <w:t xml:space="preserve">Conclusion: </w:t>
            </w:r>
            <w:r w:rsidRPr="0028749E">
              <w:rPr>
                <w:b/>
              </w:rPr>
              <w:t>ERUS is better for early disease; CT is better for advanced disease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</w:pPr>
            <w:r w:rsidRPr="00F6416D">
              <w:t>Accuracy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10%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90%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T1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4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</w:tr>
      <w:tr w:rsidR="00AD7791" w:rsidRPr="00F6416D" w:rsidTr="00EC25C4">
        <w:trPr>
          <w:cantSplit/>
          <w:trHeight w:val="20"/>
        </w:trPr>
        <w:tc>
          <w:tcPr>
            <w:tcW w:w="1566" w:type="dxa"/>
            <w:vMerge/>
          </w:tcPr>
          <w:p w:rsidR="00AD7791" w:rsidRPr="00F6416D" w:rsidRDefault="00AD7791" w:rsidP="00AD7791">
            <w:pPr>
              <w:pStyle w:val="TableText"/>
              <w:spacing w:before="30" w:after="15"/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</w:pPr>
            <w:r w:rsidRPr="00F6416D">
              <w:t>T1/T2 vs. T3/T4</w:t>
            </w:r>
          </w:p>
          <w:p w:rsidR="00AD7791" w:rsidRPr="00F6416D" w:rsidRDefault="00AD7791" w:rsidP="00AD7791">
            <w:pPr>
              <w:pStyle w:val="TableText"/>
              <w:spacing w:before="30" w:after="15"/>
            </w:pPr>
            <w:r w:rsidRPr="00F6416D">
              <w:t>Sensitivity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Not reported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100%</w:t>
            </w:r>
          </w:p>
        </w:tc>
        <w:tc>
          <w:tcPr>
            <w:tcW w:w="1135" w:type="dxa"/>
          </w:tcPr>
          <w:p w:rsidR="00AD7791" w:rsidRPr="00F6416D" w:rsidRDefault="00AD7791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T2</w:t>
            </w:r>
          </w:p>
        </w:tc>
        <w:tc>
          <w:tcPr>
            <w:tcW w:w="562" w:type="dxa"/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18" w:type="dxa"/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18" w:type="dxa"/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</w:tr>
      <w:tr w:rsidR="00AD7791" w:rsidRPr="00F6416D" w:rsidTr="00EC25C4">
        <w:trPr>
          <w:cantSplit/>
          <w:trHeight w:val="20"/>
        </w:trPr>
        <w:tc>
          <w:tcPr>
            <w:tcW w:w="1566" w:type="dxa"/>
            <w:vMerge/>
          </w:tcPr>
          <w:p w:rsidR="00AD7791" w:rsidRPr="00F6416D" w:rsidRDefault="00AD7791" w:rsidP="00AD7791">
            <w:pPr>
              <w:pStyle w:val="TableText"/>
              <w:spacing w:before="30" w:after="15"/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bottom w:val="nil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</w:pPr>
            <w:r w:rsidRPr="00F6416D">
              <w:t>T1/T2 vs. T3/T4</w:t>
            </w:r>
          </w:p>
          <w:p w:rsidR="00AD7791" w:rsidRPr="00F6416D" w:rsidRDefault="00AD7791" w:rsidP="00AD7791">
            <w:pPr>
              <w:pStyle w:val="TableText"/>
              <w:spacing w:before="30" w:after="15"/>
            </w:pPr>
            <w:r w:rsidRPr="00F6416D">
              <w:t>Specificity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bottom w:val="nil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Not reported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bottom w:val="nil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100%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T3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4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</w:tr>
      <w:tr w:rsidR="00AD7791" w:rsidRPr="00F6416D" w:rsidTr="00EC25C4">
        <w:trPr>
          <w:cantSplit/>
          <w:trHeight w:val="20"/>
        </w:trPr>
        <w:tc>
          <w:tcPr>
            <w:tcW w:w="1566" w:type="dxa"/>
            <w:vMerge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</w:pPr>
          </w:p>
        </w:tc>
        <w:tc>
          <w:tcPr>
            <w:tcW w:w="1316" w:type="dxa"/>
            <w:vMerge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T4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NR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 w:rsidRPr="00F6416D">
              <w:t>1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1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D7791" w:rsidRPr="00F6416D" w:rsidRDefault="00AD7791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</w:tr>
    </w:tbl>
    <w:p w:rsidR="004566F5" w:rsidRDefault="004566F5"/>
    <w:p w:rsidR="004566F5" w:rsidRDefault="004566F5">
      <w:r>
        <w:br w:type="page"/>
      </w:r>
    </w:p>
    <w:p w:rsidR="004566F5" w:rsidRDefault="004566F5"/>
    <w:tbl>
      <w:tblPr>
        <w:tblW w:w="134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614"/>
        <w:gridCol w:w="1356"/>
        <w:gridCol w:w="1440"/>
        <w:gridCol w:w="1350"/>
        <w:gridCol w:w="1170"/>
        <w:gridCol w:w="579"/>
        <w:gridCol w:w="843"/>
        <w:gridCol w:w="843"/>
        <w:gridCol w:w="843"/>
        <w:gridCol w:w="843"/>
        <w:gridCol w:w="843"/>
        <w:gridCol w:w="843"/>
        <w:gridCol w:w="843"/>
      </w:tblGrid>
      <w:tr w:rsidR="004566F5" w:rsidRPr="00F6416D" w:rsidTr="00EC25C4">
        <w:trPr>
          <w:cantSplit/>
          <w:trHeight w:val="20"/>
          <w:tblHeader/>
        </w:trPr>
        <w:tc>
          <w:tcPr>
            <w:tcW w:w="13410" w:type="dxa"/>
            <w:gridSpan w:val="13"/>
            <w:tcBorders>
              <w:top w:val="nil"/>
              <w:left w:val="nil"/>
              <w:right w:val="nil"/>
            </w:tcBorders>
          </w:tcPr>
          <w:p w:rsidR="004566F5" w:rsidRDefault="004566F5" w:rsidP="00EC25C4">
            <w:pPr>
              <w:pStyle w:val="TableTitle"/>
              <w:tabs>
                <w:tab w:val="left" w:pos="1080"/>
              </w:tabs>
              <w:spacing w:after="20"/>
            </w:pPr>
            <w:r w:rsidRPr="00CA04C3">
              <w:t>Table C-</w:t>
            </w:r>
            <w:r>
              <w:rPr>
                <w:noProof/>
              </w:rPr>
              <w:t>7</w:t>
            </w:r>
            <w:r w:rsidRPr="00CA04C3">
              <w:t>.</w:t>
            </w:r>
            <w:r w:rsidRPr="00CA04C3">
              <w:tab/>
              <w:t>Reported data: CT versus ERUS for preoperative primary rectal staging T</w:t>
            </w:r>
            <w:r>
              <w:t xml:space="preserve"> (continued)</w:t>
            </w:r>
          </w:p>
        </w:tc>
      </w:tr>
      <w:tr w:rsidR="004566F5" w:rsidRPr="00F6416D" w:rsidTr="00EC25C4">
        <w:trPr>
          <w:cantSplit/>
          <w:trHeight w:val="20"/>
          <w:tblHeader/>
        </w:trPr>
        <w:tc>
          <w:tcPr>
            <w:tcW w:w="1614" w:type="dxa"/>
            <w:tcBorders>
              <w:top w:val="single" w:sz="4" w:space="0" w:color="auto"/>
            </w:tcBorders>
          </w:tcPr>
          <w:p w:rsidR="004566F5" w:rsidRPr="00EC25C4" w:rsidRDefault="004566F5" w:rsidP="00EC25C4">
            <w:pPr>
              <w:pStyle w:val="TableBoldText"/>
              <w:spacing w:before="30" w:after="15"/>
              <w:rPr>
                <w:rFonts w:eastAsia="Times New Roman"/>
              </w:rPr>
            </w:pPr>
            <w:r w:rsidRPr="00EC25C4">
              <w:rPr>
                <w:rFonts w:eastAsia="Times New Roman"/>
              </w:rPr>
              <w:t>Study, N patients, Author’s Conclusion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rPr>
                <w:b/>
              </w:rPr>
              <w:t>Outcomes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566F5" w:rsidRDefault="004566F5" w:rsidP="00A964A8">
            <w:pPr>
              <w:pStyle w:val="TableText"/>
              <w:spacing w:before="30" w:after="15"/>
              <w:jc w:val="center"/>
              <w:rPr>
                <w:b/>
              </w:rPr>
            </w:pPr>
            <w:r>
              <w:rPr>
                <w:b/>
              </w:rPr>
              <w:t>CT</w:t>
            </w:r>
          </w:p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rPr>
                <w:b/>
              </w:rPr>
              <w:t>Reported T</w:t>
            </w:r>
            <w:r>
              <w:rPr>
                <w:b/>
              </w:rPr>
              <w:t> </w:t>
            </w:r>
            <w:r w:rsidRPr="00F6416D">
              <w:rPr>
                <w:b/>
              </w:rPr>
              <w:t>Stage Data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4566F5" w:rsidRDefault="004566F5" w:rsidP="00A964A8">
            <w:pPr>
              <w:pStyle w:val="TableText"/>
              <w:spacing w:before="30" w:after="15"/>
              <w:jc w:val="center"/>
              <w:rPr>
                <w:b/>
              </w:rPr>
            </w:pPr>
            <w:r>
              <w:rPr>
                <w:b/>
              </w:rPr>
              <w:t>ERUS</w:t>
            </w:r>
          </w:p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rPr>
                <w:b/>
              </w:rPr>
              <w:t>Reported T</w:t>
            </w:r>
            <w:r>
              <w:rPr>
                <w:b/>
              </w:rPr>
              <w:t> </w:t>
            </w:r>
            <w:r w:rsidRPr="00F6416D">
              <w:rPr>
                <w:b/>
              </w:rPr>
              <w:t>Stage Data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566F5" w:rsidRDefault="004566F5" w:rsidP="00AD7791">
            <w:pPr>
              <w:pStyle w:val="TableText"/>
              <w:spacing w:before="30" w:after="15"/>
            </w:pPr>
            <w:r w:rsidRPr="00F6416D">
              <w:rPr>
                <w:b/>
              </w:rPr>
              <w:t>T stage</w:t>
            </w:r>
            <w:r>
              <w:rPr>
                <w:b/>
              </w:rPr>
              <w:t xml:space="preserve"> by Pathology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4566F5" w:rsidRPr="00F6416D" w:rsidRDefault="004566F5" w:rsidP="00A964A8">
            <w:pPr>
              <w:pStyle w:val="TableText"/>
              <w:spacing w:before="30" w:after="15"/>
              <w:jc w:val="center"/>
              <w:rPr>
                <w:b/>
              </w:rPr>
            </w:pPr>
            <w:r w:rsidRPr="00F6416D">
              <w:rPr>
                <w:b/>
              </w:rPr>
              <w:t>CT</w:t>
            </w:r>
          </w:p>
          <w:p w:rsidR="004566F5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rPr>
                <w:b/>
              </w:rPr>
              <w:t>T1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964A8">
            <w:pPr>
              <w:pStyle w:val="TableText"/>
              <w:spacing w:before="30" w:after="15"/>
              <w:jc w:val="center"/>
              <w:rPr>
                <w:b/>
              </w:rPr>
            </w:pPr>
            <w:r w:rsidRPr="00F6416D">
              <w:rPr>
                <w:b/>
              </w:rPr>
              <w:t>CT</w:t>
            </w:r>
          </w:p>
          <w:p w:rsidR="004566F5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rPr>
                <w:b/>
              </w:rPr>
              <w:t>T2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964A8">
            <w:pPr>
              <w:pStyle w:val="TableText"/>
              <w:spacing w:before="30" w:after="15"/>
              <w:jc w:val="center"/>
              <w:rPr>
                <w:b/>
              </w:rPr>
            </w:pPr>
            <w:r w:rsidRPr="00F6416D">
              <w:rPr>
                <w:b/>
              </w:rPr>
              <w:t>CT</w:t>
            </w:r>
          </w:p>
          <w:p w:rsidR="004566F5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rPr>
                <w:b/>
              </w:rPr>
              <w:t>T3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964A8">
            <w:pPr>
              <w:pStyle w:val="TableText"/>
              <w:spacing w:before="30" w:after="15"/>
              <w:jc w:val="center"/>
              <w:rPr>
                <w:b/>
              </w:rPr>
            </w:pPr>
            <w:r w:rsidRPr="00F6416D">
              <w:rPr>
                <w:b/>
              </w:rPr>
              <w:t>CT</w:t>
            </w:r>
          </w:p>
          <w:p w:rsidR="004566F5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rPr>
                <w:b/>
              </w:rPr>
              <w:t>T4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964A8">
            <w:pPr>
              <w:pStyle w:val="TableText"/>
              <w:spacing w:before="30" w:after="15"/>
              <w:jc w:val="center"/>
              <w:rPr>
                <w:b/>
              </w:rPr>
            </w:pPr>
            <w:r w:rsidRPr="00F6416D">
              <w:rPr>
                <w:b/>
              </w:rPr>
              <w:t>ERUS</w:t>
            </w:r>
          </w:p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rPr>
                <w:b/>
              </w:rPr>
              <w:t>T1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964A8">
            <w:pPr>
              <w:pStyle w:val="TableText"/>
              <w:spacing w:before="30" w:after="15"/>
              <w:jc w:val="center"/>
              <w:rPr>
                <w:b/>
              </w:rPr>
            </w:pPr>
            <w:r w:rsidRPr="00F6416D">
              <w:rPr>
                <w:b/>
              </w:rPr>
              <w:t>ERUS</w:t>
            </w:r>
          </w:p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rPr>
                <w:b/>
              </w:rPr>
              <w:t>T2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964A8">
            <w:pPr>
              <w:pStyle w:val="TableText"/>
              <w:spacing w:before="30" w:after="15"/>
              <w:jc w:val="center"/>
              <w:rPr>
                <w:b/>
              </w:rPr>
            </w:pPr>
            <w:r w:rsidRPr="00F6416D">
              <w:rPr>
                <w:b/>
              </w:rPr>
              <w:t>ERUS</w:t>
            </w:r>
          </w:p>
          <w:p w:rsidR="004566F5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rPr>
                <w:b/>
              </w:rPr>
              <w:t>T3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964A8">
            <w:pPr>
              <w:pStyle w:val="TableText"/>
              <w:spacing w:before="30" w:after="15"/>
              <w:jc w:val="center"/>
              <w:rPr>
                <w:b/>
              </w:rPr>
            </w:pPr>
            <w:r w:rsidRPr="00F6416D">
              <w:rPr>
                <w:b/>
              </w:rPr>
              <w:t>ERUS</w:t>
            </w:r>
          </w:p>
          <w:p w:rsidR="004566F5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rPr>
                <w:b/>
              </w:rPr>
              <w:t>T4</w:t>
            </w:r>
          </w:p>
        </w:tc>
      </w:tr>
      <w:tr w:rsidR="004566F5" w:rsidRPr="00F6416D" w:rsidTr="00AD7791">
        <w:trPr>
          <w:cantSplit/>
          <w:trHeight w:val="20"/>
        </w:trPr>
        <w:tc>
          <w:tcPr>
            <w:tcW w:w="1614" w:type="dxa"/>
            <w:vMerge w:val="restart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rPr>
                <w:rFonts w:ascii="Arial" w:eastAsia="Calibri" w:hAnsi="Arial" w:cs="Arial"/>
                <w:sz w:val="18"/>
                <w:szCs w:val="18"/>
              </w:rPr>
            </w:pPr>
            <w:r w:rsidRPr="00F6416D">
              <w:rPr>
                <w:rFonts w:ascii="Arial" w:eastAsia="Calibri" w:hAnsi="Arial" w:cs="Arial"/>
                <w:sz w:val="18"/>
                <w:szCs w:val="18"/>
              </w:rPr>
              <w:t>Osti et a</w:t>
            </w:r>
            <w:r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Pr="00F6416D">
              <w:rPr>
                <w:rFonts w:ascii="Arial" w:eastAsia="Calibri" w:hAnsi="Arial" w:cs="Arial"/>
                <w:sz w:val="18"/>
                <w:szCs w:val="18"/>
              </w:rPr>
              <w:t>. 1997</w:t>
            </w:r>
            <w:r w:rsidRPr="00215F35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101</w:t>
            </w:r>
          </w:p>
          <w:p w:rsidR="004566F5" w:rsidRPr="00F6416D" w:rsidRDefault="004566F5" w:rsidP="00AD7791">
            <w:pPr>
              <w:spacing w:before="30" w:after="15"/>
              <w:rPr>
                <w:rFonts w:ascii="Arial" w:eastAsia="Calibri" w:hAnsi="Arial" w:cs="Arial"/>
                <w:sz w:val="18"/>
                <w:szCs w:val="18"/>
              </w:rPr>
            </w:pPr>
            <w:r w:rsidRPr="00F6416D">
              <w:rPr>
                <w:rFonts w:ascii="Arial" w:eastAsia="Calibri" w:hAnsi="Arial" w:cs="Arial"/>
                <w:sz w:val="18"/>
                <w:szCs w:val="18"/>
              </w:rPr>
              <w:t>63 patients</w:t>
            </w:r>
          </w:p>
          <w:p w:rsidR="004566F5" w:rsidRPr="00F6416D" w:rsidRDefault="004566F5" w:rsidP="00AD7791">
            <w:pPr>
              <w:spacing w:before="240" w:after="15"/>
              <w:rPr>
                <w:rFonts w:ascii="Arial" w:hAnsi="Arial" w:cs="Arial"/>
                <w:sz w:val="18"/>
                <w:szCs w:val="18"/>
              </w:rPr>
            </w:pPr>
            <w:r w:rsidRPr="00F6416D">
              <w:rPr>
                <w:rFonts w:ascii="Arial" w:hAnsi="Arial" w:cs="Arial"/>
                <w:sz w:val="18"/>
                <w:szCs w:val="18"/>
              </w:rPr>
              <w:t xml:space="preserve">Conclusion: </w:t>
            </w:r>
            <w:r w:rsidRPr="0028749E">
              <w:rPr>
                <w:rFonts w:ascii="Arial" w:hAnsi="Arial" w:cs="Arial"/>
                <w:b/>
                <w:sz w:val="18"/>
                <w:szCs w:val="18"/>
              </w:rPr>
              <w:t>ERUS is better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Accuracy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74%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83%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T1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3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</w:tr>
      <w:tr w:rsidR="004566F5" w:rsidRPr="00F6416D" w:rsidTr="00AD7791">
        <w:trPr>
          <w:cantSplit/>
          <w:trHeight w:val="20"/>
        </w:trPr>
        <w:tc>
          <w:tcPr>
            <w:tcW w:w="1614" w:type="dxa"/>
            <w:vMerge/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T1/T2 vs. T3/T4</w:t>
            </w:r>
          </w:p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Sensitivity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83%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91%</w:t>
            </w:r>
          </w:p>
        </w:tc>
        <w:tc>
          <w:tcPr>
            <w:tcW w:w="1170" w:type="dxa"/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T2</w:t>
            </w:r>
          </w:p>
        </w:tc>
        <w:tc>
          <w:tcPr>
            <w:tcW w:w="579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11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7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</w:tr>
      <w:tr w:rsidR="004566F5" w:rsidRPr="00F6416D" w:rsidTr="00AD7791">
        <w:trPr>
          <w:cantSplit/>
          <w:trHeight w:val="20"/>
        </w:trPr>
        <w:tc>
          <w:tcPr>
            <w:tcW w:w="1614" w:type="dxa"/>
            <w:vMerge/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6" w:type="dxa"/>
            <w:vMerge w:val="restart"/>
            <w:tcBorders>
              <w:bottom w:val="nil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T1/T2 vs. T3/T4</w:t>
            </w:r>
          </w:p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Specificity</w:t>
            </w:r>
          </w:p>
        </w:tc>
        <w:tc>
          <w:tcPr>
            <w:tcW w:w="1440" w:type="dxa"/>
            <w:vMerge w:val="restart"/>
            <w:tcBorders>
              <w:bottom w:val="nil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16D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1350" w:type="dxa"/>
            <w:vMerge w:val="restart"/>
            <w:tcBorders>
              <w:bottom w:val="nil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67%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T3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4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32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</w:tr>
      <w:tr w:rsidR="004566F5" w:rsidRPr="00F6416D" w:rsidTr="00AD7791">
        <w:trPr>
          <w:cantSplit/>
          <w:trHeight w:val="20"/>
        </w:trPr>
        <w:tc>
          <w:tcPr>
            <w:tcW w:w="1614" w:type="dxa"/>
            <w:vMerge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T4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5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566F5" w:rsidRPr="00F6416D" w:rsidTr="00AD7791">
        <w:trPr>
          <w:cantSplit/>
          <w:trHeight w:val="582"/>
        </w:trPr>
        <w:tc>
          <w:tcPr>
            <w:tcW w:w="1614" w:type="dxa"/>
            <w:vMerge w:val="restart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keepNext/>
              <w:spacing w:before="30" w:after="15"/>
            </w:pPr>
            <w:r w:rsidRPr="00F6416D">
              <w:t>Goldman et al. 1991</w:t>
            </w:r>
            <w:r w:rsidRPr="00215F35">
              <w:rPr>
                <w:vertAlign w:val="superscript"/>
              </w:rPr>
              <w:t>103</w:t>
            </w:r>
          </w:p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29 patients</w:t>
            </w:r>
          </w:p>
          <w:p w:rsidR="004566F5" w:rsidRPr="00F6416D" w:rsidRDefault="004566F5" w:rsidP="00AD7791">
            <w:pPr>
              <w:pStyle w:val="TableText"/>
              <w:spacing w:before="240" w:after="15"/>
            </w:pPr>
            <w:r w:rsidRPr="00F6416D">
              <w:t xml:space="preserve">Conclusion: </w:t>
            </w:r>
            <w:r w:rsidRPr="0028749E">
              <w:rPr>
                <w:b/>
              </w:rPr>
              <w:t>ERUS is better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Accuracy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52%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tabs>
                <w:tab w:val="left" w:pos="323"/>
                <w:tab w:val="center" w:pos="540"/>
              </w:tabs>
              <w:spacing w:before="30" w:after="15"/>
              <w:jc w:val="center"/>
            </w:pPr>
            <w:r w:rsidRPr="00F6416D">
              <w:t>81%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T1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4566F5" w:rsidRPr="00C63090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C63090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C63090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C63090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C63090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C63090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C63090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C63090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</w:tr>
      <w:tr w:rsidR="004566F5" w:rsidRPr="00F6416D" w:rsidTr="00AD7791">
        <w:trPr>
          <w:cantSplit/>
          <w:trHeight w:val="20"/>
        </w:trPr>
        <w:tc>
          <w:tcPr>
            <w:tcW w:w="1614" w:type="dxa"/>
            <w:vMerge/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6" w:type="dxa"/>
          </w:tcPr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T1/T2 vs. T3/T4</w:t>
            </w:r>
          </w:p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Sensitivity</w:t>
            </w:r>
          </w:p>
        </w:tc>
        <w:tc>
          <w:tcPr>
            <w:tcW w:w="1440" w:type="dxa"/>
          </w:tcPr>
          <w:p w:rsidR="004566F5" w:rsidRPr="00F6416D" w:rsidRDefault="004566F5" w:rsidP="00AD7791">
            <w:pPr>
              <w:pStyle w:val="TableText"/>
              <w:tabs>
                <w:tab w:val="left" w:pos="323"/>
                <w:tab w:val="left" w:pos="358"/>
                <w:tab w:val="center" w:pos="540"/>
              </w:tabs>
              <w:spacing w:before="30" w:after="15"/>
              <w:jc w:val="center"/>
            </w:pPr>
            <w:r w:rsidRPr="00F6416D">
              <w:t>67%</w:t>
            </w:r>
          </w:p>
        </w:tc>
        <w:tc>
          <w:tcPr>
            <w:tcW w:w="1350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90%</w:t>
            </w:r>
          </w:p>
        </w:tc>
        <w:tc>
          <w:tcPr>
            <w:tcW w:w="1170" w:type="dxa"/>
          </w:tcPr>
          <w:p w:rsidR="004566F5" w:rsidRPr="00F6416D" w:rsidRDefault="004566F5" w:rsidP="00AD77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pT2</w:t>
            </w:r>
          </w:p>
        </w:tc>
        <w:tc>
          <w:tcPr>
            <w:tcW w:w="579" w:type="dxa"/>
          </w:tcPr>
          <w:p w:rsidR="004566F5" w:rsidRPr="00C63090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C63090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C63090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C63090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C63090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C63090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C63090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C63090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</w:tr>
      <w:tr w:rsidR="004566F5" w:rsidRPr="00F6416D" w:rsidTr="00AD7791">
        <w:trPr>
          <w:cantSplit/>
          <w:trHeight w:val="699"/>
        </w:trPr>
        <w:tc>
          <w:tcPr>
            <w:tcW w:w="1614" w:type="dxa"/>
            <w:vMerge/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6" w:type="dxa"/>
          </w:tcPr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T1/T2 vs. T3/T4</w:t>
            </w:r>
          </w:p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Specificity</w:t>
            </w:r>
          </w:p>
        </w:tc>
        <w:tc>
          <w:tcPr>
            <w:tcW w:w="1440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27%</w:t>
            </w:r>
          </w:p>
        </w:tc>
        <w:tc>
          <w:tcPr>
            <w:tcW w:w="1350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67%</w:t>
            </w:r>
          </w:p>
        </w:tc>
        <w:tc>
          <w:tcPr>
            <w:tcW w:w="1170" w:type="dxa"/>
          </w:tcPr>
          <w:p w:rsidR="004566F5" w:rsidRPr="00F6416D" w:rsidRDefault="004566F5" w:rsidP="00AD77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6416D">
              <w:rPr>
                <w:rFonts w:ascii="Arial" w:hAnsi="Arial" w:cs="Arial"/>
                <w:sz w:val="18"/>
                <w:szCs w:val="18"/>
              </w:rPr>
              <w:t>T3</w:t>
            </w:r>
          </w:p>
        </w:tc>
        <w:tc>
          <w:tcPr>
            <w:tcW w:w="579" w:type="dxa"/>
          </w:tcPr>
          <w:p w:rsidR="004566F5" w:rsidRPr="00C63090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C63090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C63090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C63090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C63090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C63090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C63090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C63090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</w:tr>
      <w:tr w:rsidR="004566F5" w:rsidRPr="00F6416D" w:rsidTr="00AD7791">
        <w:trPr>
          <w:cantSplit/>
          <w:trHeight w:val="20"/>
        </w:trPr>
        <w:tc>
          <w:tcPr>
            <w:tcW w:w="1614" w:type="dxa"/>
            <w:vMerge/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4566F5" w:rsidRDefault="004566F5" w:rsidP="00AD7791">
            <w:pPr>
              <w:pStyle w:val="TableText"/>
              <w:spacing w:before="30" w:after="15"/>
            </w:pPr>
            <w:r w:rsidRPr="00F6416D">
              <w:t>Overstaging</w:t>
            </w:r>
          </w:p>
          <w:p w:rsidR="004566F5" w:rsidRPr="00F6416D" w:rsidRDefault="004566F5" w:rsidP="00AD7791">
            <w:pPr>
              <w:pStyle w:val="TableText"/>
              <w:spacing w:before="30" w:after="15"/>
            </w:pPr>
            <w:r>
              <w:t>Understaging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566F5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16D">
              <w:rPr>
                <w:rFonts w:ascii="Arial" w:hAnsi="Arial" w:cs="Arial"/>
                <w:sz w:val="18"/>
                <w:szCs w:val="18"/>
              </w:rPr>
              <w:t>8/29 (27.6%)</w:t>
            </w:r>
          </w:p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6/29 (20.7%)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566F5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4/29 (13.8%)</w:t>
            </w:r>
          </w:p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2/29 (6.9%)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566F5" w:rsidRPr="001E6291" w:rsidRDefault="004566F5" w:rsidP="00AD7791">
            <w:pPr>
              <w:pStyle w:val="TableText"/>
              <w:spacing w:before="30" w:after="15"/>
            </w:pPr>
            <w:r>
              <w:t>pT4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4566F5" w:rsidRPr="001E6291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1E6291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1E6291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1E6291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1E6291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1E6291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1E6291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1E6291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</w:tr>
      <w:tr w:rsidR="004566F5" w:rsidRPr="00F6416D" w:rsidTr="00AD7791">
        <w:trPr>
          <w:cantSplit/>
          <w:trHeight w:val="20"/>
        </w:trPr>
        <w:tc>
          <w:tcPr>
            <w:tcW w:w="1614" w:type="dxa"/>
            <w:vMerge w:val="restart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rPr>
                <w:rFonts w:ascii="Arial" w:hAnsi="Arial" w:cs="Arial"/>
                <w:sz w:val="18"/>
                <w:szCs w:val="18"/>
              </w:rPr>
            </w:pPr>
            <w:r w:rsidRPr="00F6416D">
              <w:rPr>
                <w:rFonts w:ascii="Arial" w:hAnsi="Arial" w:cs="Arial"/>
                <w:sz w:val="18"/>
                <w:szCs w:val="18"/>
              </w:rPr>
              <w:t>Pappalardo et al. 1990</w:t>
            </w:r>
            <w:r w:rsidRPr="00215F35">
              <w:rPr>
                <w:rFonts w:ascii="Arial" w:hAnsi="Arial" w:cs="Arial"/>
                <w:sz w:val="18"/>
                <w:szCs w:val="18"/>
                <w:vertAlign w:val="superscript"/>
              </w:rPr>
              <w:t>104</w:t>
            </w:r>
          </w:p>
          <w:p w:rsidR="004566F5" w:rsidRPr="00F6416D" w:rsidRDefault="004566F5" w:rsidP="00AD7791">
            <w:pPr>
              <w:spacing w:before="30" w:after="15"/>
              <w:rPr>
                <w:rFonts w:ascii="Arial" w:hAnsi="Arial" w:cs="Arial"/>
                <w:sz w:val="18"/>
                <w:szCs w:val="18"/>
              </w:rPr>
            </w:pPr>
            <w:r w:rsidRPr="00F6416D">
              <w:rPr>
                <w:rFonts w:ascii="Arial" w:hAnsi="Arial" w:cs="Arial"/>
                <w:sz w:val="18"/>
                <w:szCs w:val="18"/>
              </w:rPr>
              <w:t>14 patients</w:t>
            </w:r>
          </w:p>
          <w:p w:rsidR="004566F5" w:rsidRPr="00F6416D" w:rsidRDefault="004566F5" w:rsidP="00AD7791">
            <w:pPr>
              <w:spacing w:before="240" w:after="15"/>
              <w:rPr>
                <w:rFonts w:ascii="Arial" w:hAnsi="Arial" w:cs="Arial"/>
                <w:sz w:val="18"/>
                <w:szCs w:val="18"/>
              </w:rPr>
            </w:pPr>
            <w:r w:rsidRPr="00F6416D">
              <w:rPr>
                <w:rFonts w:ascii="Arial" w:hAnsi="Arial" w:cs="Arial"/>
                <w:sz w:val="18"/>
                <w:szCs w:val="18"/>
              </w:rPr>
              <w:t xml:space="preserve">Conclusion: </w:t>
            </w:r>
            <w:r w:rsidRPr="0028749E">
              <w:rPr>
                <w:rFonts w:ascii="Arial" w:hAnsi="Arial" w:cs="Arial"/>
                <w:b/>
                <w:sz w:val="18"/>
                <w:szCs w:val="18"/>
              </w:rPr>
              <w:t>ERUS is better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Accuracy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77.8%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100%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T1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</w:tr>
      <w:tr w:rsidR="004566F5" w:rsidRPr="00F6416D" w:rsidTr="00AD7791">
        <w:trPr>
          <w:cantSplit/>
          <w:trHeight w:val="20"/>
        </w:trPr>
        <w:tc>
          <w:tcPr>
            <w:tcW w:w="1614" w:type="dxa"/>
            <w:vMerge/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T1/T2 vs. T3/T4</w:t>
            </w:r>
          </w:p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Sensitivity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77.8%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100%</w:t>
            </w:r>
          </w:p>
        </w:tc>
        <w:tc>
          <w:tcPr>
            <w:tcW w:w="1170" w:type="dxa"/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T2</w:t>
            </w:r>
          </w:p>
        </w:tc>
        <w:tc>
          <w:tcPr>
            <w:tcW w:w="579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4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</w:tr>
      <w:tr w:rsidR="004566F5" w:rsidRPr="00F6416D" w:rsidTr="00AD7791">
        <w:trPr>
          <w:cantSplit/>
          <w:trHeight w:val="20"/>
        </w:trPr>
        <w:tc>
          <w:tcPr>
            <w:tcW w:w="1614" w:type="dxa"/>
            <w:vMerge/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6" w:type="dxa"/>
            <w:vMerge w:val="restart"/>
          </w:tcPr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T1/T2 vs. T3/T4</w:t>
            </w:r>
          </w:p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Specificity</w:t>
            </w:r>
          </w:p>
        </w:tc>
        <w:tc>
          <w:tcPr>
            <w:tcW w:w="1440" w:type="dxa"/>
            <w:vMerge w:val="restart"/>
            <w:tcBorders>
              <w:bottom w:val="nil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16D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50" w:type="dxa"/>
            <w:vMerge w:val="restart"/>
            <w:tcBorders>
              <w:bottom w:val="nil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16D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T3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7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0</w:t>
            </w:r>
          </w:p>
        </w:tc>
      </w:tr>
      <w:tr w:rsidR="004566F5" w:rsidRPr="00F6416D" w:rsidTr="00AD7791">
        <w:trPr>
          <w:cantSplit/>
          <w:trHeight w:val="20"/>
        </w:trPr>
        <w:tc>
          <w:tcPr>
            <w:tcW w:w="1614" w:type="dxa"/>
            <w:vMerge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T4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1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566F5" w:rsidRPr="00F6416D" w:rsidTr="00AD7791">
        <w:trPr>
          <w:cantSplit/>
          <w:trHeight w:val="20"/>
        </w:trPr>
        <w:tc>
          <w:tcPr>
            <w:tcW w:w="1614" w:type="dxa"/>
            <w:vMerge w:val="restart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rPr>
                <w:rFonts w:ascii="Arial" w:hAnsi="Arial" w:cs="Arial"/>
                <w:sz w:val="18"/>
                <w:szCs w:val="18"/>
              </w:rPr>
            </w:pPr>
            <w:r w:rsidRPr="00F6416D">
              <w:rPr>
                <w:rFonts w:ascii="Arial" w:hAnsi="Arial" w:cs="Arial"/>
                <w:sz w:val="18"/>
                <w:szCs w:val="18"/>
              </w:rPr>
              <w:t>Rotte et al. 1989</w:t>
            </w:r>
            <w:r w:rsidRPr="00215F35">
              <w:rPr>
                <w:rFonts w:ascii="Arial" w:hAnsi="Arial" w:cs="Arial"/>
                <w:sz w:val="18"/>
                <w:szCs w:val="18"/>
                <w:vertAlign w:val="superscript"/>
              </w:rPr>
              <w:t>105</w:t>
            </w:r>
          </w:p>
          <w:p w:rsidR="004566F5" w:rsidRPr="00F6416D" w:rsidRDefault="004566F5" w:rsidP="00AD7791">
            <w:pPr>
              <w:spacing w:before="30" w:after="15"/>
              <w:rPr>
                <w:rFonts w:ascii="Arial" w:hAnsi="Arial" w:cs="Arial"/>
                <w:sz w:val="18"/>
                <w:szCs w:val="18"/>
              </w:rPr>
            </w:pPr>
            <w:r w:rsidRPr="00F6416D">
              <w:rPr>
                <w:rFonts w:ascii="Arial" w:hAnsi="Arial" w:cs="Arial"/>
                <w:sz w:val="18"/>
                <w:szCs w:val="18"/>
              </w:rPr>
              <w:t>25 patients</w:t>
            </w:r>
          </w:p>
          <w:p w:rsidR="004566F5" w:rsidRPr="00F6416D" w:rsidRDefault="004566F5" w:rsidP="00AD7791">
            <w:pPr>
              <w:spacing w:before="240" w:after="15"/>
              <w:rPr>
                <w:rFonts w:ascii="Arial" w:hAnsi="Arial" w:cs="Arial"/>
                <w:sz w:val="18"/>
                <w:szCs w:val="18"/>
              </w:rPr>
            </w:pPr>
            <w:r w:rsidRPr="00F6416D">
              <w:rPr>
                <w:rFonts w:ascii="Arial" w:hAnsi="Arial" w:cs="Arial"/>
                <w:sz w:val="18"/>
                <w:szCs w:val="18"/>
              </w:rPr>
              <w:t xml:space="preserve">Conclusion: </w:t>
            </w:r>
            <w:r w:rsidRPr="0028749E">
              <w:rPr>
                <w:rFonts w:ascii="Arial" w:hAnsi="Arial" w:cs="Arial"/>
                <w:b/>
                <w:sz w:val="18"/>
                <w:szCs w:val="18"/>
              </w:rPr>
              <w:t>ERUS is better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Accuracy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76%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84%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T1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4566F5" w:rsidRPr="00F6416D" w:rsidTr="00AD7791">
        <w:trPr>
          <w:cantSplit/>
          <w:trHeight w:val="20"/>
        </w:trPr>
        <w:tc>
          <w:tcPr>
            <w:tcW w:w="1614" w:type="dxa"/>
            <w:vMerge/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T1/T2 vs. T3/T4</w:t>
            </w:r>
          </w:p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Sensitivity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84.6%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81.3%</w:t>
            </w:r>
          </w:p>
        </w:tc>
        <w:tc>
          <w:tcPr>
            <w:tcW w:w="1170" w:type="dxa"/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T2</w:t>
            </w:r>
          </w:p>
        </w:tc>
        <w:tc>
          <w:tcPr>
            <w:tcW w:w="579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4566F5" w:rsidRPr="00F6416D" w:rsidTr="00AD7791">
        <w:trPr>
          <w:cantSplit/>
          <w:trHeight w:val="20"/>
        </w:trPr>
        <w:tc>
          <w:tcPr>
            <w:tcW w:w="1614" w:type="dxa"/>
            <w:vMerge/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6" w:type="dxa"/>
            <w:vMerge w:val="restart"/>
          </w:tcPr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T1/T2 vs. T3/T4</w:t>
            </w:r>
          </w:p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Specificity</w:t>
            </w:r>
          </w:p>
        </w:tc>
        <w:tc>
          <w:tcPr>
            <w:tcW w:w="1440" w:type="dxa"/>
            <w:vMerge w:val="restart"/>
            <w:tcBorders>
              <w:bottom w:val="nil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16D">
              <w:rPr>
                <w:rFonts w:ascii="Arial" w:hAnsi="Arial" w:cs="Arial"/>
                <w:sz w:val="18"/>
                <w:szCs w:val="18"/>
              </w:rPr>
              <w:t>75.0%</w:t>
            </w:r>
          </w:p>
        </w:tc>
        <w:tc>
          <w:tcPr>
            <w:tcW w:w="1350" w:type="dxa"/>
            <w:vMerge w:val="restart"/>
            <w:tcBorders>
              <w:bottom w:val="nil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16D">
              <w:rPr>
                <w:rFonts w:ascii="Arial" w:hAnsi="Arial" w:cs="Arial"/>
                <w:sz w:val="18"/>
                <w:szCs w:val="18"/>
              </w:rPr>
              <w:t>88.9%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T3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4566F5" w:rsidRPr="00F6416D" w:rsidTr="00AD7791">
        <w:trPr>
          <w:cantSplit/>
          <w:trHeight w:val="20"/>
        </w:trPr>
        <w:tc>
          <w:tcPr>
            <w:tcW w:w="1614" w:type="dxa"/>
            <w:vMerge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T4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4566F5" w:rsidRPr="00F6416D" w:rsidTr="00AD7791">
        <w:trPr>
          <w:cantSplit/>
          <w:trHeight w:val="20"/>
        </w:trPr>
        <w:tc>
          <w:tcPr>
            <w:tcW w:w="1614" w:type="dxa"/>
            <w:vMerge w:val="restart"/>
            <w:tcBorders>
              <w:top w:val="single" w:sz="4" w:space="0" w:color="auto"/>
            </w:tcBorders>
          </w:tcPr>
          <w:p w:rsidR="004566F5" w:rsidRDefault="004566F5" w:rsidP="00AD7791">
            <w:pPr>
              <w:spacing w:before="30" w:after="15"/>
              <w:rPr>
                <w:rFonts w:ascii="Arial" w:hAnsi="Arial" w:cs="Arial"/>
                <w:sz w:val="18"/>
                <w:szCs w:val="18"/>
              </w:rPr>
            </w:pPr>
            <w:r w:rsidRPr="00F6416D">
              <w:rPr>
                <w:rFonts w:ascii="Arial" w:hAnsi="Arial" w:cs="Arial"/>
                <w:sz w:val="18"/>
                <w:szCs w:val="18"/>
              </w:rPr>
              <w:lastRenderedPageBreak/>
              <w:t>Waizer et al. 1989</w:t>
            </w:r>
            <w:r w:rsidRPr="00215F35">
              <w:rPr>
                <w:rFonts w:ascii="Arial" w:hAnsi="Arial" w:cs="Arial"/>
                <w:sz w:val="18"/>
                <w:szCs w:val="18"/>
                <w:vertAlign w:val="superscript"/>
              </w:rPr>
              <w:t>106</w:t>
            </w:r>
          </w:p>
          <w:p w:rsidR="004566F5" w:rsidRDefault="004566F5" w:rsidP="00AD7791">
            <w:pPr>
              <w:spacing w:before="30" w:after="15"/>
              <w:rPr>
                <w:rFonts w:ascii="Arial" w:hAnsi="Arial" w:cs="Arial"/>
                <w:sz w:val="18"/>
                <w:szCs w:val="18"/>
              </w:rPr>
            </w:pPr>
            <w:r w:rsidRPr="00F6416D">
              <w:rPr>
                <w:rFonts w:ascii="Arial" w:hAnsi="Arial" w:cs="Arial"/>
                <w:sz w:val="18"/>
                <w:szCs w:val="18"/>
              </w:rPr>
              <w:t>58 had CT, of these 42 also had ERUS</w:t>
            </w:r>
          </w:p>
          <w:p w:rsidR="004566F5" w:rsidRPr="00F6416D" w:rsidRDefault="004566F5" w:rsidP="00AD7791">
            <w:pPr>
              <w:spacing w:before="240" w:after="15"/>
              <w:rPr>
                <w:rFonts w:ascii="Arial" w:hAnsi="Arial" w:cs="Arial"/>
                <w:sz w:val="18"/>
                <w:szCs w:val="18"/>
              </w:rPr>
            </w:pPr>
            <w:r w:rsidRPr="00F6416D">
              <w:rPr>
                <w:rFonts w:ascii="Arial" w:hAnsi="Arial" w:cs="Arial"/>
                <w:sz w:val="18"/>
                <w:szCs w:val="18"/>
              </w:rPr>
              <w:t xml:space="preserve">Conclusion: </w:t>
            </w:r>
            <w:r w:rsidRPr="0028749E">
              <w:rPr>
                <w:rFonts w:ascii="Arial" w:hAnsi="Arial" w:cs="Arial"/>
                <w:b/>
                <w:sz w:val="18"/>
                <w:szCs w:val="18"/>
              </w:rPr>
              <w:t>ERUS is better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Accuracy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65.5%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76.8%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T1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</w:tr>
      <w:tr w:rsidR="004566F5" w:rsidRPr="00F6416D" w:rsidTr="00AD7791">
        <w:trPr>
          <w:cantSplit/>
          <w:trHeight w:val="20"/>
        </w:trPr>
        <w:tc>
          <w:tcPr>
            <w:tcW w:w="1614" w:type="dxa"/>
            <w:vMerge/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T1/T2 vs. T3/T4</w:t>
            </w:r>
          </w:p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Sensitivity</w:t>
            </w:r>
          </w:p>
        </w:tc>
        <w:tc>
          <w:tcPr>
            <w:tcW w:w="1440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82.6%</w:t>
            </w:r>
          </w:p>
        </w:tc>
        <w:tc>
          <w:tcPr>
            <w:tcW w:w="1350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88.8%</w:t>
            </w:r>
          </w:p>
        </w:tc>
        <w:tc>
          <w:tcPr>
            <w:tcW w:w="1170" w:type="dxa"/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T2</w:t>
            </w:r>
          </w:p>
        </w:tc>
        <w:tc>
          <w:tcPr>
            <w:tcW w:w="579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</w:tr>
      <w:tr w:rsidR="004566F5" w:rsidRPr="00F6416D" w:rsidTr="00AD7791">
        <w:trPr>
          <w:cantSplit/>
          <w:trHeight w:val="20"/>
        </w:trPr>
        <w:tc>
          <w:tcPr>
            <w:tcW w:w="1614" w:type="dxa"/>
            <w:vMerge/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6" w:type="dxa"/>
            <w:vMerge w:val="restart"/>
          </w:tcPr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T1/T2 vs. T3/T4</w:t>
            </w:r>
          </w:p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Specificity</w:t>
            </w:r>
          </w:p>
        </w:tc>
        <w:tc>
          <w:tcPr>
            <w:tcW w:w="1440" w:type="dxa"/>
            <w:vMerge w:val="restart"/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vMerge w:val="restart"/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T3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</w:tr>
      <w:tr w:rsidR="004566F5" w:rsidRPr="00F6416D" w:rsidTr="00AD7791">
        <w:trPr>
          <w:cantSplit/>
          <w:trHeight w:val="20"/>
        </w:trPr>
        <w:tc>
          <w:tcPr>
            <w:tcW w:w="1614" w:type="dxa"/>
            <w:vMerge/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T4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09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09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09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09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09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09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09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09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4566F5" w:rsidRPr="00F6416D" w:rsidTr="00AD7791">
        <w:trPr>
          <w:cantSplit/>
          <w:trHeight w:val="696"/>
        </w:trPr>
        <w:tc>
          <w:tcPr>
            <w:tcW w:w="1614" w:type="dxa"/>
            <w:vMerge w:val="restart"/>
            <w:tcBorders>
              <w:top w:val="single" w:sz="4" w:space="0" w:color="auto"/>
            </w:tcBorders>
          </w:tcPr>
          <w:p w:rsidR="004566F5" w:rsidRDefault="004566F5" w:rsidP="00AD7791">
            <w:pPr>
              <w:pStyle w:val="TableText"/>
              <w:spacing w:before="30" w:after="15"/>
            </w:pPr>
            <w:r w:rsidRPr="00F6416D">
              <w:t>Beynon et al. 1986</w:t>
            </w:r>
            <w:r w:rsidRPr="00215F35">
              <w:rPr>
                <w:vertAlign w:val="superscript"/>
              </w:rPr>
              <w:t>107</w:t>
            </w:r>
          </w:p>
          <w:p w:rsidR="004566F5" w:rsidRDefault="004566F5" w:rsidP="00AD7791">
            <w:pPr>
              <w:pStyle w:val="TableText"/>
              <w:spacing w:before="30" w:after="15"/>
            </w:pPr>
            <w:r w:rsidRPr="00F6416D">
              <w:t>44 patients</w:t>
            </w:r>
          </w:p>
          <w:p w:rsidR="004566F5" w:rsidRPr="00F6416D" w:rsidRDefault="004566F5" w:rsidP="00AD7791">
            <w:pPr>
              <w:pStyle w:val="TableText"/>
              <w:spacing w:before="240" w:after="15"/>
            </w:pPr>
            <w:r w:rsidRPr="00F6416D">
              <w:t xml:space="preserve">Conclusion: </w:t>
            </w:r>
            <w:r w:rsidRPr="0028749E">
              <w:rPr>
                <w:b/>
              </w:rPr>
              <w:t>ERUS is better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Accuracy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tabs>
                <w:tab w:val="left" w:pos="323"/>
                <w:tab w:val="left" w:pos="358"/>
                <w:tab w:val="center" w:pos="540"/>
              </w:tabs>
              <w:spacing w:before="30" w:after="15"/>
              <w:jc w:val="center"/>
            </w:pPr>
            <w:r w:rsidRPr="00F6416D">
              <w:t>82%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91%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T1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4566F5" w:rsidRPr="00C63090" w:rsidRDefault="004566F5" w:rsidP="00AD7791">
            <w:pPr>
              <w:pStyle w:val="TableText"/>
              <w:spacing w:before="30" w:after="15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C63090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C63090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C63090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C63090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C63090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C63090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C63090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</w:tr>
      <w:tr w:rsidR="004566F5" w:rsidRPr="00F6416D" w:rsidTr="00AD7791">
        <w:trPr>
          <w:cantSplit/>
          <w:trHeight w:val="696"/>
        </w:trPr>
        <w:tc>
          <w:tcPr>
            <w:tcW w:w="1614" w:type="dxa"/>
            <w:vMerge/>
          </w:tcPr>
          <w:p w:rsidR="004566F5" w:rsidRPr="00F6416D" w:rsidRDefault="004566F5" w:rsidP="00AD7791">
            <w:pPr>
              <w:pStyle w:val="TableText"/>
              <w:spacing w:before="240" w:after="15"/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T1/T2 vs. T3/T4</w:t>
            </w:r>
          </w:p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Sensitivity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tabs>
                <w:tab w:val="left" w:pos="323"/>
                <w:tab w:val="left" w:pos="358"/>
                <w:tab w:val="center" w:pos="540"/>
              </w:tabs>
              <w:spacing w:before="30" w:after="15"/>
              <w:jc w:val="center"/>
            </w:pPr>
            <w:r w:rsidRPr="00F6416D">
              <w:t>86%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94%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T2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</w:tr>
      <w:tr w:rsidR="004566F5" w:rsidRPr="00F6416D" w:rsidTr="00AD7791">
        <w:trPr>
          <w:cantSplit/>
          <w:trHeight w:val="804"/>
        </w:trPr>
        <w:tc>
          <w:tcPr>
            <w:tcW w:w="1614" w:type="dxa"/>
            <w:vMerge/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6" w:type="dxa"/>
          </w:tcPr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T1/T2 vs. T3/T4</w:t>
            </w:r>
          </w:p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Specificity</w:t>
            </w:r>
          </w:p>
        </w:tc>
        <w:tc>
          <w:tcPr>
            <w:tcW w:w="1440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62%</w:t>
            </w:r>
          </w:p>
        </w:tc>
        <w:tc>
          <w:tcPr>
            <w:tcW w:w="1350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87%</w:t>
            </w:r>
          </w:p>
        </w:tc>
        <w:tc>
          <w:tcPr>
            <w:tcW w:w="1170" w:type="dxa"/>
          </w:tcPr>
          <w:p w:rsidR="004566F5" w:rsidRPr="00C63090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T3</w:t>
            </w:r>
          </w:p>
        </w:tc>
        <w:tc>
          <w:tcPr>
            <w:tcW w:w="579" w:type="dxa"/>
          </w:tcPr>
          <w:p w:rsidR="004566F5" w:rsidRPr="00F6416D" w:rsidRDefault="004566F5" w:rsidP="00AD7791">
            <w:pPr>
              <w:pStyle w:val="TableText"/>
              <w:spacing w:before="30" w:after="15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</w:tr>
      <w:tr w:rsidR="004566F5" w:rsidRPr="00F6416D" w:rsidTr="00AD7791">
        <w:trPr>
          <w:cantSplit/>
          <w:trHeight w:val="20"/>
        </w:trPr>
        <w:tc>
          <w:tcPr>
            <w:tcW w:w="1614" w:type="dxa"/>
            <w:vMerge/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6" w:type="dxa"/>
          </w:tcPr>
          <w:p w:rsidR="004566F5" w:rsidRDefault="004566F5" w:rsidP="00AD7791">
            <w:pPr>
              <w:pStyle w:val="TableText"/>
              <w:spacing w:before="30" w:after="15"/>
            </w:pPr>
            <w:r w:rsidRPr="00F6416D">
              <w:t>Overstaging</w:t>
            </w:r>
          </w:p>
          <w:p w:rsidR="004566F5" w:rsidRPr="00F6416D" w:rsidRDefault="004566F5" w:rsidP="00AD7791">
            <w:pPr>
              <w:pStyle w:val="TableText"/>
              <w:spacing w:before="30" w:after="15"/>
            </w:pPr>
            <w:r>
              <w:t>Understaging</w:t>
            </w:r>
          </w:p>
        </w:tc>
        <w:tc>
          <w:tcPr>
            <w:tcW w:w="1440" w:type="dxa"/>
          </w:tcPr>
          <w:p w:rsidR="004566F5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16D">
              <w:rPr>
                <w:rFonts w:ascii="Arial" w:hAnsi="Arial" w:cs="Arial"/>
                <w:sz w:val="18"/>
                <w:szCs w:val="18"/>
              </w:rPr>
              <w:t>3/44 (6.8%)</w:t>
            </w:r>
          </w:p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5/44 (11.4%)</w:t>
            </w:r>
          </w:p>
        </w:tc>
        <w:tc>
          <w:tcPr>
            <w:tcW w:w="1350" w:type="dxa"/>
          </w:tcPr>
          <w:p w:rsidR="004566F5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2/44 (4.5%)</w:t>
            </w:r>
          </w:p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t>2/44 (4.5%)</w:t>
            </w:r>
          </w:p>
        </w:tc>
        <w:tc>
          <w:tcPr>
            <w:tcW w:w="1170" w:type="dxa"/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T4</w:t>
            </w:r>
          </w:p>
        </w:tc>
        <w:tc>
          <w:tcPr>
            <w:tcW w:w="579" w:type="dxa"/>
          </w:tcPr>
          <w:p w:rsidR="004566F5" w:rsidRPr="001E6291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1E6291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1E6291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1E6291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1E6291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1E6291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1E6291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1E6291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</w:tr>
      <w:tr w:rsidR="004566F5" w:rsidRPr="00F6416D" w:rsidTr="00AD7791">
        <w:trPr>
          <w:cantSplit/>
          <w:trHeight w:val="20"/>
        </w:trPr>
        <w:tc>
          <w:tcPr>
            <w:tcW w:w="1614" w:type="dxa"/>
            <w:vMerge w:val="restart"/>
            <w:tcBorders>
              <w:top w:val="single" w:sz="4" w:space="0" w:color="auto"/>
            </w:tcBorders>
          </w:tcPr>
          <w:p w:rsidR="004566F5" w:rsidRDefault="004566F5" w:rsidP="00AD7791">
            <w:pPr>
              <w:spacing w:before="30" w:after="15"/>
              <w:rPr>
                <w:rFonts w:ascii="Arial" w:hAnsi="Arial" w:cs="Arial"/>
                <w:sz w:val="18"/>
                <w:szCs w:val="18"/>
              </w:rPr>
            </w:pPr>
            <w:r w:rsidRPr="00F6416D">
              <w:rPr>
                <w:rFonts w:ascii="Arial" w:hAnsi="Arial" w:cs="Arial"/>
                <w:sz w:val="18"/>
                <w:szCs w:val="18"/>
              </w:rPr>
              <w:t>Kramann and Hildebrandt 1986</w:t>
            </w:r>
            <w:r w:rsidRPr="00215F35">
              <w:rPr>
                <w:rFonts w:ascii="Arial" w:hAnsi="Arial" w:cs="Arial"/>
                <w:sz w:val="18"/>
                <w:szCs w:val="18"/>
                <w:vertAlign w:val="superscript"/>
              </w:rPr>
              <w:t>108</w:t>
            </w:r>
          </w:p>
          <w:p w:rsidR="004566F5" w:rsidRDefault="004566F5" w:rsidP="00AD7791">
            <w:pPr>
              <w:spacing w:before="30" w:after="15"/>
              <w:rPr>
                <w:rFonts w:ascii="Arial" w:hAnsi="Arial" w:cs="Arial"/>
                <w:sz w:val="18"/>
                <w:szCs w:val="18"/>
              </w:rPr>
            </w:pPr>
            <w:r w:rsidRPr="00F6416D">
              <w:rPr>
                <w:rFonts w:ascii="Arial" w:hAnsi="Arial" w:cs="Arial"/>
                <w:sz w:val="18"/>
                <w:szCs w:val="18"/>
              </w:rPr>
              <w:t>29 patients</w:t>
            </w:r>
          </w:p>
          <w:p w:rsidR="004566F5" w:rsidRPr="00F6416D" w:rsidRDefault="004566F5" w:rsidP="00AD7791">
            <w:pPr>
              <w:spacing w:before="240" w:after="15"/>
              <w:rPr>
                <w:rFonts w:ascii="Arial" w:hAnsi="Arial" w:cs="Arial"/>
                <w:sz w:val="18"/>
                <w:szCs w:val="18"/>
              </w:rPr>
            </w:pPr>
            <w:r w:rsidRPr="00F6416D">
              <w:rPr>
                <w:rFonts w:ascii="Arial" w:hAnsi="Arial" w:cs="Arial"/>
                <w:sz w:val="18"/>
                <w:szCs w:val="18"/>
              </w:rPr>
              <w:t xml:space="preserve">Conclusion: </w:t>
            </w:r>
            <w:r w:rsidRPr="0028749E">
              <w:rPr>
                <w:rFonts w:ascii="Arial" w:hAnsi="Arial" w:cs="Arial"/>
                <w:b/>
                <w:sz w:val="18"/>
                <w:szCs w:val="18"/>
              </w:rPr>
              <w:t>ERUS is better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Accuracy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75.9%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93.1%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T1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4566F5" w:rsidRPr="00F6416D" w:rsidTr="00AD7791">
        <w:trPr>
          <w:cantSplit/>
          <w:trHeight w:val="20"/>
        </w:trPr>
        <w:tc>
          <w:tcPr>
            <w:tcW w:w="1614" w:type="dxa"/>
            <w:vMerge/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6" w:type="dxa"/>
          </w:tcPr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T1/T2 vs. T3/T4</w:t>
            </w:r>
          </w:p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Sensitivity</w:t>
            </w:r>
          </w:p>
        </w:tc>
        <w:tc>
          <w:tcPr>
            <w:tcW w:w="1440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95.0%</w:t>
            </w:r>
          </w:p>
        </w:tc>
        <w:tc>
          <w:tcPr>
            <w:tcW w:w="1350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100.0%</w:t>
            </w:r>
          </w:p>
        </w:tc>
        <w:tc>
          <w:tcPr>
            <w:tcW w:w="1170" w:type="dxa"/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T2</w:t>
            </w:r>
          </w:p>
        </w:tc>
        <w:tc>
          <w:tcPr>
            <w:tcW w:w="579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4566F5" w:rsidRPr="00F6416D" w:rsidTr="00AD7791">
        <w:trPr>
          <w:cantSplit/>
          <w:trHeight w:val="20"/>
        </w:trPr>
        <w:tc>
          <w:tcPr>
            <w:tcW w:w="1614" w:type="dxa"/>
            <w:vMerge/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6" w:type="dxa"/>
            <w:vMerge w:val="restart"/>
          </w:tcPr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T1/T2 vs. T3/T4</w:t>
            </w:r>
          </w:p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Specificity</w:t>
            </w:r>
          </w:p>
        </w:tc>
        <w:tc>
          <w:tcPr>
            <w:tcW w:w="1440" w:type="dxa"/>
            <w:vMerge w:val="restart"/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16D">
              <w:rPr>
                <w:rFonts w:ascii="Arial" w:hAnsi="Arial" w:cs="Arial"/>
                <w:sz w:val="18"/>
                <w:szCs w:val="18"/>
              </w:rPr>
              <w:t>44.4%</w:t>
            </w:r>
          </w:p>
        </w:tc>
        <w:tc>
          <w:tcPr>
            <w:tcW w:w="1350" w:type="dxa"/>
            <w:vMerge w:val="restart"/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16D">
              <w:rPr>
                <w:rFonts w:ascii="Arial" w:hAnsi="Arial" w:cs="Arial"/>
                <w:sz w:val="18"/>
                <w:szCs w:val="18"/>
              </w:rPr>
              <w:t>77.8%</w:t>
            </w:r>
          </w:p>
        </w:tc>
        <w:tc>
          <w:tcPr>
            <w:tcW w:w="1170" w:type="dxa"/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T3</w:t>
            </w:r>
          </w:p>
        </w:tc>
        <w:tc>
          <w:tcPr>
            <w:tcW w:w="579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4566F5" w:rsidRPr="00F6416D" w:rsidTr="00AD7791">
        <w:trPr>
          <w:cantSplit/>
          <w:trHeight w:val="20"/>
        </w:trPr>
        <w:tc>
          <w:tcPr>
            <w:tcW w:w="1614" w:type="dxa"/>
            <w:vMerge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T4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4566F5" w:rsidRPr="00F6416D" w:rsidTr="00AD7791">
        <w:trPr>
          <w:cantSplit/>
          <w:trHeight w:val="20"/>
        </w:trPr>
        <w:tc>
          <w:tcPr>
            <w:tcW w:w="1614" w:type="dxa"/>
            <w:vMerge w:val="restart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F6416D">
              <w:rPr>
                <w:rFonts w:ascii="Arial" w:hAnsi="Arial" w:cs="Arial"/>
                <w:sz w:val="18"/>
                <w:szCs w:val="18"/>
              </w:rPr>
              <w:t>Rifkin and Weschler. 1986</w:t>
            </w:r>
            <w:r w:rsidRPr="00215F35">
              <w:rPr>
                <w:rFonts w:ascii="Arial" w:hAnsi="Arial" w:cs="Arial"/>
                <w:sz w:val="18"/>
                <w:szCs w:val="18"/>
                <w:vertAlign w:val="superscript"/>
              </w:rPr>
              <w:t>110</w:t>
            </w:r>
            <w:r w:rsidRPr="00F6416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  <w:p w:rsidR="004566F5" w:rsidRDefault="004566F5" w:rsidP="00AD7791">
            <w:pPr>
              <w:spacing w:before="30" w:after="15"/>
              <w:rPr>
                <w:rFonts w:ascii="Arial" w:hAnsi="Arial" w:cs="Arial"/>
                <w:sz w:val="18"/>
                <w:szCs w:val="18"/>
              </w:rPr>
            </w:pPr>
            <w:r w:rsidRPr="00F6416D">
              <w:rPr>
                <w:rFonts w:ascii="Arial" w:hAnsi="Arial" w:cs="Arial"/>
                <w:sz w:val="18"/>
                <w:szCs w:val="18"/>
              </w:rPr>
              <w:t xml:space="preserve">79 had ERUS, and 71 of these </w:t>
            </w:r>
            <w:r w:rsidRPr="00F6416D">
              <w:rPr>
                <w:rFonts w:ascii="Arial" w:hAnsi="Arial" w:cs="Arial"/>
                <w:sz w:val="18"/>
                <w:szCs w:val="18"/>
              </w:rPr>
              <w:lastRenderedPageBreak/>
              <w:t>also had CT</w:t>
            </w:r>
          </w:p>
          <w:p w:rsidR="004566F5" w:rsidRPr="00F6416D" w:rsidRDefault="004566F5" w:rsidP="00AD7791">
            <w:pPr>
              <w:spacing w:before="240" w:after="15"/>
              <w:rPr>
                <w:rFonts w:ascii="Arial" w:hAnsi="Arial" w:cs="Arial"/>
                <w:sz w:val="18"/>
                <w:szCs w:val="18"/>
              </w:rPr>
            </w:pPr>
            <w:r w:rsidRPr="00F6416D">
              <w:rPr>
                <w:rFonts w:ascii="Arial" w:hAnsi="Arial" w:cs="Arial"/>
                <w:sz w:val="18"/>
                <w:szCs w:val="18"/>
              </w:rPr>
              <w:t xml:space="preserve">Conclusion: </w:t>
            </w:r>
            <w:r w:rsidRPr="0028749E">
              <w:rPr>
                <w:rFonts w:ascii="Arial" w:hAnsi="Arial" w:cs="Arial"/>
                <w:b/>
                <w:sz w:val="18"/>
                <w:szCs w:val="18"/>
              </w:rPr>
              <w:t>ERUS is better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lastRenderedPageBreak/>
              <w:t>Accuracy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69.0%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86.1%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T1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</w:tr>
      <w:tr w:rsidR="004566F5" w:rsidRPr="00F6416D" w:rsidTr="00AD7791">
        <w:trPr>
          <w:cantSplit/>
          <w:trHeight w:val="20"/>
        </w:trPr>
        <w:tc>
          <w:tcPr>
            <w:tcW w:w="1614" w:type="dxa"/>
            <w:vMerge/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6" w:type="dxa"/>
          </w:tcPr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T1/T2 vs. T3/T4</w:t>
            </w:r>
          </w:p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Sensitivity</w:t>
            </w:r>
          </w:p>
        </w:tc>
        <w:tc>
          <w:tcPr>
            <w:tcW w:w="1440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55%</w:t>
            </w:r>
          </w:p>
        </w:tc>
        <w:tc>
          <w:tcPr>
            <w:tcW w:w="1350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83%</w:t>
            </w:r>
          </w:p>
        </w:tc>
        <w:tc>
          <w:tcPr>
            <w:tcW w:w="1170" w:type="dxa"/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T2</w:t>
            </w:r>
          </w:p>
        </w:tc>
        <w:tc>
          <w:tcPr>
            <w:tcW w:w="579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spacing w:before="30" w:after="15"/>
              <w:jc w:val="center"/>
            </w:pPr>
            <w:r w:rsidRPr="006C3F3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spacing w:before="30" w:after="15"/>
              <w:jc w:val="center"/>
            </w:pPr>
            <w:r w:rsidRPr="006C3F3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</w:tr>
      <w:tr w:rsidR="004566F5" w:rsidRPr="00F6416D" w:rsidTr="00AD7791">
        <w:trPr>
          <w:cantSplit/>
          <w:trHeight w:val="20"/>
        </w:trPr>
        <w:tc>
          <w:tcPr>
            <w:tcW w:w="1614" w:type="dxa"/>
            <w:vMerge/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6" w:type="dxa"/>
            <w:vMerge w:val="restart"/>
          </w:tcPr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 xml:space="preserve">T1/T2 vs. </w:t>
            </w:r>
            <w:r w:rsidRPr="00F6416D">
              <w:lastRenderedPageBreak/>
              <w:t>T3/T4</w:t>
            </w:r>
          </w:p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Specificity</w:t>
            </w:r>
          </w:p>
        </w:tc>
        <w:tc>
          <w:tcPr>
            <w:tcW w:w="1440" w:type="dxa"/>
            <w:vMerge w:val="restart"/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16D">
              <w:rPr>
                <w:rFonts w:ascii="Arial" w:hAnsi="Arial" w:cs="Arial"/>
                <w:sz w:val="18"/>
                <w:szCs w:val="18"/>
              </w:rPr>
              <w:lastRenderedPageBreak/>
              <w:t>79%</w:t>
            </w:r>
          </w:p>
        </w:tc>
        <w:tc>
          <w:tcPr>
            <w:tcW w:w="1350" w:type="dxa"/>
            <w:vMerge w:val="restart"/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16D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1170" w:type="dxa"/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T3</w:t>
            </w:r>
          </w:p>
        </w:tc>
        <w:tc>
          <w:tcPr>
            <w:tcW w:w="579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</w:pPr>
            <w:r w:rsidRPr="006C3F3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spacing w:before="30" w:after="15"/>
              <w:jc w:val="center"/>
            </w:pPr>
            <w:r w:rsidRPr="006C3F3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</w:tr>
      <w:tr w:rsidR="004566F5" w:rsidRPr="00F6416D" w:rsidTr="00AD7791">
        <w:trPr>
          <w:cantSplit/>
          <w:trHeight w:val="20"/>
        </w:trPr>
        <w:tc>
          <w:tcPr>
            <w:tcW w:w="1614" w:type="dxa"/>
            <w:vMerge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T4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09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09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43" w:type="dxa"/>
            <w:tcBorders>
              <w:bottom w:val="nil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09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09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09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F3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F3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09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4566F5" w:rsidRPr="00F6416D" w:rsidTr="00AD7791">
        <w:trPr>
          <w:cantSplit/>
          <w:trHeight w:val="20"/>
        </w:trPr>
        <w:tc>
          <w:tcPr>
            <w:tcW w:w="1614" w:type="dxa"/>
            <w:vMerge w:val="restart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spacing w:before="30" w:after="15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F6416D">
              <w:rPr>
                <w:rFonts w:ascii="Arial" w:hAnsi="Arial" w:cs="Arial"/>
                <w:sz w:val="18"/>
                <w:szCs w:val="18"/>
              </w:rPr>
              <w:lastRenderedPageBreak/>
              <w:t>Rifkin et al. 1986</w:t>
            </w:r>
            <w:r w:rsidRPr="00215F35">
              <w:rPr>
                <w:rFonts w:ascii="Arial" w:hAnsi="Arial" w:cs="Arial"/>
                <w:sz w:val="18"/>
                <w:szCs w:val="18"/>
                <w:vertAlign w:val="superscript"/>
              </w:rPr>
              <w:t>110</w:t>
            </w:r>
            <w:r w:rsidRPr="00F6416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  <w:p w:rsidR="004566F5" w:rsidRDefault="004566F5" w:rsidP="00AD7791">
            <w:pPr>
              <w:spacing w:before="30" w:after="15"/>
              <w:rPr>
                <w:rFonts w:ascii="Arial" w:hAnsi="Arial" w:cs="Arial"/>
                <w:sz w:val="18"/>
                <w:szCs w:val="18"/>
              </w:rPr>
            </w:pPr>
            <w:r w:rsidRPr="00F6416D">
              <w:rPr>
                <w:rFonts w:ascii="Arial" w:hAnsi="Arial" w:cs="Arial"/>
                <w:sz w:val="18"/>
                <w:szCs w:val="18"/>
              </w:rPr>
              <w:t>54 had ERUS, and 51 of these also had CT</w:t>
            </w:r>
          </w:p>
          <w:p w:rsidR="004566F5" w:rsidRPr="00F6416D" w:rsidRDefault="004566F5" w:rsidP="00AD7791">
            <w:pPr>
              <w:spacing w:before="240" w:after="15"/>
              <w:rPr>
                <w:rFonts w:ascii="Arial" w:hAnsi="Arial" w:cs="Arial"/>
                <w:sz w:val="18"/>
                <w:szCs w:val="18"/>
              </w:rPr>
            </w:pPr>
            <w:r w:rsidRPr="00F6416D">
              <w:rPr>
                <w:rFonts w:ascii="Arial" w:hAnsi="Arial" w:cs="Arial"/>
                <w:sz w:val="18"/>
                <w:szCs w:val="18"/>
              </w:rPr>
              <w:t xml:space="preserve">Conclusion: </w:t>
            </w:r>
            <w:r w:rsidRPr="0028749E">
              <w:rPr>
                <w:rFonts w:ascii="Arial" w:hAnsi="Arial" w:cs="Arial"/>
                <w:b/>
                <w:sz w:val="18"/>
                <w:szCs w:val="18"/>
              </w:rPr>
              <w:t>ERUS is better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Accuracy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69%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tabs>
                <w:tab w:val="left" w:pos="323"/>
                <w:tab w:val="center" w:pos="540"/>
              </w:tabs>
              <w:spacing w:before="30" w:after="15"/>
              <w:jc w:val="center"/>
            </w:pPr>
            <w:r w:rsidRPr="00F6416D">
              <w:t>93%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T1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nil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nil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nil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</w:tr>
      <w:tr w:rsidR="004566F5" w:rsidRPr="00F6416D" w:rsidTr="00AD7791">
        <w:trPr>
          <w:cantSplit/>
          <w:trHeight w:val="20"/>
        </w:trPr>
        <w:tc>
          <w:tcPr>
            <w:tcW w:w="1614" w:type="dxa"/>
            <w:vMerge/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6" w:type="dxa"/>
          </w:tcPr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T1/T2 vs. T3/T4</w:t>
            </w:r>
          </w:p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Sensitivity</w:t>
            </w:r>
          </w:p>
        </w:tc>
        <w:tc>
          <w:tcPr>
            <w:tcW w:w="1440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55%</w:t>
            </w:r>
          </w:p>
        </w:tc>
        <w:tc>
          <w:tcPr>
            <w:tcW w:w="1350" w:type="dxa"/>
          </w:tcPr>
          <w:p w:rsidR="004566F5" w:rsidRPr="00F6416D" w:rsidRDefault="004566F5" w:rsidP="00AD7791">
            <w:pPr>
              <w:pStyle w:val="TableText"/>
              <w:tabs>
                <w:tab w:val="left" w:pos="311"/>
                <w:tab w:val="left" w:pos="346"/>
                <w:tab w:val="center" w:pos="540"/>
              </w:tabs>
              <w:spacing w:before="30" w:after="15"/>
              <w:jc w:val="center"/>
            </w:pPr>
            <w:r w:rsidRPr="00F6416D">
              <w:t>89%</w:t>
            </w:r>
          </w:p>
        </w:tc>
        <w:tc>
          <w:tcPr>
            <w:tcW w:w="1170" w:type="dxa"/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T2</w:t>
            </w:r>
          </w:p>
        </w:tc>
        <w:tc>
          <w:tcPr>
            <w:tcW w:w="579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</w:tr>
      <w:tr w:rsidR="004566F5" w:rsidRPr="00F6416D" w:rsidTr="00AD7791">
        <w:trPr>
          <w:cantSplit/>
          <w:trHeight w:val="20"/>
        </w:trPr>
        <w:tc>
          <w:tcPr>
            <w:tcW w:w="1614" w:type="dxa"/>
            <w:vMerge/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6" w:type="dxa"/>
            <w:vMerge w:val="restart"/>
          </w:tcPr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T1/T2 vs. T3/T4</w:t>
            </w:r>
          </w:p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Specificity</w:t>
            </w:r>
          </w:p>
        </w:tc>
        <w:tc>
          <w:tcPr>
            <w:tcW w:w="1440" w:type="dxa"/>
            <w:vMerge w:val="restart"/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16D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1350" w:type="dxa"/>
            <w:vMerge w:val="restart"/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16D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1170" w:type="dxa"/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T3</w:t>
            </w:r>
          </w:p>
        </w:tc>
        <w:tc>
          <w:tcPr>
            <w:tcW w:w="579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</w:tr>
      <w:tr w:rsidR="004566F5" w:rsidRPr="00F6416D" w:rsidTr="00AD7791">
        <w:trPr>
          <w:cantSplit/>
          <w:trHeight w:val="20"/>
        </w:trPr>
        <w:tc>
          <w:tcPr>
            <w:tcW w:w="1614" w:type="dxa"/>
            <w:vMerge/>
            <w:tcBorders>
              <w:bottom w:val="single" w:sz="12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6" w:type="dxa"/>
            <w:vMerge/>
            <w:tcBorders>
              <w:bottom w:val="single" w:sz="12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0" w:type="dxa"/>
            <w:vMerge/>
            <w:tcBorders>
              <w:bottom w:val="single" w:sz="12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T4</w:t>
            </w: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09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43" w:type="dxa"/>
            <w:tcBorders>
              <w:bottom w:val="single" w:sz="12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09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43" w:type="dxa"/>
            <w:tcBorders>
              <w:bottom w:val="single" w:sz="12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09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43" w:type="dxa"/>
            <w:tcBorders>
              <w:bottom w:val="single" w:sz="12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09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43" w:type="dxa"/>
            <w:tcBorders>
              <w:bottom w:val="single" w:sz="12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09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43" w:type="dxa"/>
            <w:tcBorders>
              <w:bottom w:val="single" w:sz="12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09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43" w:type="dxa"/>
            <w:tcBorders>
              <w:bottom w:val="single" w:sz="12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09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43" w:type="dxa"/>
            <w:tcBorders>
              <w:bottom w:val="single" w:sz="12" w:space="0" w:color="auto"/>
            </w:tcBorders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09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4566F5" w:rsidRPr="00F6416D" w:rsidTr="00AD7791">
        <w:trPr>
          <w:cantSplit/>
          <w:trHeight w:val="20"/>
        </w:trPr>
        <w:tc>
          <w:tcPr>
            <w:tcW w:w="1614" w:type="dxa"/>
            <w:vMerge w:val="restart"/>
            <w:tcBorders>
              <w:top w:val="double" w:sz="4" w:space="0" w:color="auto"/>
            </w:tcBorders>
          </w:tcPr>
          <w:p w:rsidR="004566F5" w:rsidRPr="00F6416D" w:rsidRDefault="004566F5" w:rsidP="00AD7791">
            <w:pPr>
              <w:pStyle w:val="TableText"/>
              <w:pageBreakBefore/>
              <w:spacing w:before="30" w:after="15"/>
            </w:pPr>
            <w:r w:rsidRPr="00F6416D">
              <w:lastRenderedPageBreak/>
              <w:t>Romano et al. 1985</w:t>
            </w:r>
            <w:r w:rsidRPr="00215F35">
              <w:rPr>
                <w:vertAlign w:val="superscript"/>
              </w:rPr>
              <w:t>111</w:t>
            </w:r>
          </w:p>
          <w:p w:rsidR="004566F5" w:rsidRDefault="004566F5" w:rsidP="00AD7791">
            <w:pPr>
              <w:pStyle w:val="TableText"/>
              <w:spacing w:before="30" w:after="15"/>
            </w:pPr>
            <w:r w:rsidRPr="00F6416D">
              <w:t>23 patients</w:t>
            </w:r>
          </w:p>
          <w:p w:rsidR="004566F5" w:rsidRPr="00F6416D" w:rsidRDefault="004566F5" w:rsidP="00AD7791">
            <w:pPr>
              <w:pStyle w:val="TableText"/>
              <w:spacing w:before="240" w:after="15"/>
            </w:pPr>
            <w:r w:rsidRPr="00F6416D">
              <w:t>Conc</w:t>
            </w:r>
            <w:r>
              <w:t>l</w:t>
            </w:r>
            <w:r w:rsidRPr="00F6416D">
              <w:t xml:space="preserve">usion: </w:t>
            </w:r>
            <w:r w:rsidRPr="0028749E">
              <w:rPr>
                <w:b/>
              </w:rPr>
              <w:t>ERUS is better</w:t>
            </w:r>
          </w:p>
        </w:tc>
        <w:tc>
          <w:tcPr>
            <w:tcW w:w="1356" w:type="dxa"/>
            <w:tcBorders>
              <w:top w:val="doub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Accuracy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82.6%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:rsidR="004566F5" w:rsidRPr="00F6416D" w:rsidRDefault="004566F5" w:rsidP="00AD7791">
            <w:pPr>
              <w:pStyle w:val="TableText"/>
              <w:tabs>
                <w:tab w:val="left" w:pos="323"/>
                <w:tab w:val="center" w:pos="540"/>
              </w:tabs>
              <w:spacing w:before="30" w:after="15"/>
              <w:jc w:val="center"/>
            </w:pPr>
            <w:r w:rsidRPr="00F6416D">
              <w:t>87.0%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T1</w:t>
            </w:r>
          </w:p>
        </w:tc>
        <w:tc>
          <w:tcPr>
            <w:tcW w:w="579" w:type="dxa"/>
            <w:tcBorders>
              <w:top w:val="doub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doub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doub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doub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doub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doub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doub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top w:val="double" w:sz="4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</w:tr>
      <w:tr w:rsidR="004566F5" w:rsidRPr="00F6416D" w:rsidTr="00AD7791">
        <w:trPr>
          <w:cantSplit/>
          <w:trHeight w:val="20"/>
        </w:trPr>
        <w:tc>
          <w:tcPr>
            <w:tcW w:w="1614" w:type="dxa"/>
            <w:vMerge/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6" w:type="dxa"/>
          </w:tcPr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Overstaging</w:t>
            </w:r>
          </w:p>
        </w:tc>
        <w:tc>
          <w:tcPr>
            <w:tcW w:w="1440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2/23 (8.7%)</w:t>
            </w:r>
          </w:p>
        </w:tc>
        <w:tc>
          <w:tcPr>
            <w:tcW w:w="1350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1/23 (4.4%)</w:t>
            </w:r>
          </w:p>
        </w:tc>
        <w:tc>
          <w:tcPr>
            <w:tcW w:w="1170" w:type="dxa"/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T2</w:t>
            </w:r>
          </w:p>
        </w:tc>
        <w:tc>
          <w:tcPr>
            <w:tcW w:w="579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</w:tr>
      <w:tr w:rsidR="004566F5" w:rsidRPr="00F6416D" w:rsidTr="00AD7791">
        <w:trPr>
          <w:cantSplit/>
          <w:trHeight w:val="20"/>
        </w:trPr>
        <w:tc>
          <w:tcPr>
            <w:tcW w:w="1614" w:type="dxa"/>
            <w:vMerge/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6" w:type="dxa"/>
            <w:vMerge w:val="restart"/>
          </w:tcPr>
          <w:p w:rsidR="004566F5" w:rsidRPr="00F6416D" w:rsidRDefault="004566F5" w:rsidP="00AD7791">
            <w:pPr>
              <w:pStyle w:val="TableText"/>
              <w:spacing w:before="30" w:after="15"/>
            </w:pPr>
            <w:r w:rsidRPr="00F6416D">
              <w:t>Understaging</w:t>
            </w:r>
          </w:p>
        </w:tc>
        <w:tc>
          <w:tcPr>
            <w:tcW w:w="1440" w:type="dxa"/>
            <w:vMerge w:val="restart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F6416D">
              <w:t>2/23 (8.7%)</w:t>
            </w:r>
          </w:p>
        </w:tc>
        <w:tc>
          <w:tcPr>
            <w:tcW w:w="1350" w:type="dxa"/>
            <w:vMerge w:val="restart"/>
          </w:tcPr>
          <w:p w:rsidR="004566F5" w:rsidRPr="00F6416D" w:rsidRDefault="004566F5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16D">
              <w:rPr>
                <w:rFonts w:ascii="Arial" w:hAnsi="Arial" w:cs="Arial"/>
                <w:sz w:val="18"/>
                <w:szCs w:val="18"/>
              </w:rPr>
              <w:t>2/23 (8.7%)</w:t>
            </w:r>
          </w:p>
        </w:tc>
        <w:tc>
          <w:tcPr>
            <w:tcW w:w="1170" w:type="dxa"/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T3</w:t>
            </w:r>
          </w:p>
        </w:tc>
        <w:tc>
          <w:tcPr>
            <w:tcW w:w="579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</w:tr>
      <w:tr w:rsidR="004566F5" w:rsidRPr="00F6416D" w:rsidTr="00AD7791">
        <w:trPr>
          <w:cantSplit/>
          <w:trHeight w:val="20"/>
        </w:trPr>
        <w:tc>
          <w:tcPr>
            <w:tcW w:w="1614" w:type="dxa"/>
            <w:vMerge/>
            <w:tcBorders>
              <w:bottom w:val="single" w:sz="12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6" w:type="dxa"/>
            <w:vMerge/>
            <w:tcBorders>
              <w:bottom w:val="single" w:sz="12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350" w:type="dxa"/>
            <w:vMerge/>
            <w:tcBorders>
              <w:bottom w:val="single" w:sz="12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</w:pPr>
            <w:r>
              <w:t>p</w:t>
            </w:r>
            <w:r w:rsidRPr="00F6416D">
              <w:t>T4</w:t>
            </w: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bottom w:val="single" w:sz="12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bottom w:val="single" w:sz="12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bottom w:val="single" w:sz="12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bottom w:val="single" w:sz="12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bottom w:val="single" w:sz="12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bottom w:val="single" w:sz="12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  <w:tc>
          <w:tcPr>
            <w:tcW w:w="843" w:type="dxa"/>
            <w:tcBorders>
              <w:bottom w:val="single" w:sz="12" w:space="0" w:color="auto"/>
            </w:tcBorders>
          </w:tcPr>
          <w:p w:rsidR="004566F5" w:rsidRPr="00F6416D" w:rsidRDefault="004566F5" w:rsidP="00AD7791">
            <w:pPr>
              <w:pStyle w:val="TableText"/>
              <w:spacing w:before="30" w:after="15"/>
              <w:jc w:val="center"/>
            </w:pPr>
            <w:r w:rsidRPr="00C63090">
              <w:t>NR</w:t>
            </w:r>
          </w:p>
        </w:tc>
      </w:tr>
    </w:tbl>
    <w:p w:rsidR="00AD7791" w:rsidRDefault="00AD7791" w:rsidP="00AD7791">
      <w:pPr>
        <w:pStyle w:val="TableNote"/>
        <w:spacing w:after="0"/>
        <w:ind w:left="180"/>
      </w:pPr>
      <w:r w:rsidRPr="00955FE2">
        <w:rPr>
          <w:vertAlign w:val="superscript"/>
        </w:rPr>
        <w:t>a</w:t>
      </w:r>
      <w:r>
        <w:t xml:space="preserve"> It is possible that these two studies are reporting on an overlapping patient population.</w:t>
      </w:r>
    </w:p>
    <w:p w:rsidR="00AD7791" w:rsidRDefault="00AD7791" w:rsidP="00AD7791">
      <w:pPr>
        <w:pStyle w:val="TableNote"/>
        <w:spacing w:before="40" w:after="0"/>
        <w:ind w:left="180"/>
      </w:pPr>
      <w:r>
        <w:t>CT=Computed tomography; ERUS=endorectal ultrasound; NR=not reported; pT=pathologic tumor stage; T=tumor stage.</w:t>
      </w:r>
    </w:p>
    <w:p w:rsidR="00AD7791" w:rsidRDefault="00AD7791" w:rsidP="00AD7791">
      <w:pPr>
        <w:pStyle w:val="TableNote"/>
        <w:spacing w:before="40" w:after="0"/>
        <w:ind w:left="180"/>
      </w:pPr>
    </w:p>
    <w:p w:rsidR="00AD7791" w:rsidRDefault="00AD7791" w:rsidP="00B34DEC">
      <w:pPr>
        <w:pStyle w:val="TableTitle"/>
        <w:tabs>
          <w:tab w:val="left" w:pos="1080"/>
        </w:tabs>
        <w:spacing w:after="20"/>
      </w:pPr>
    </w:p>
    <w:sectPr w:rsidR="00AD7791" w:rsidSect="005F735D">
      <w:footerReference w:type="default" r:id="rId11"/>
      <w:footerReference w:type="first" r:id="rId12"/>
      <w:pgSz w:w="15840" w:h="12240" w:orient="landscape" w:code="1"/>
      <w:pgMar w:top="1440" w:right="1440" w:bottom="1440" w:left="1440" w:header="1008" w:footer="720" w:gutter="0"/>
      <w:pgNumType w:start="16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43E" w:rsidRDefault="00E3043E">
      <w:r>
        <w:separator/>
      </w:r>
    </w:p>
  </w:endnote>
  <w:endnote w:type="continuationSeparator" w:id="1">
    <w:p w:rsidR="00E3043E" w:rsidRDefault="00E30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C" w:rsidRDefault="00B34DEC" w:rsidP="00B34DEC">
    <w:pPr>
      <w:pStyle w:val="PageNumber"/>
    </w:pPr>
    <w:r>
      <w:t>C-</w:t>
    </w:r>
    <w:fldSimple w:instr=" PAGE   \* MERGEFORMAT ">
      <w:r w:rsidR="005F735D">
        <w:rPr>
          <w:noProof/>
        </w:rPr>
        <w:t>20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C" w:rsidRDefault="00B34DEC" w:rsidP="00B34DEC">
    <w:pPr>
      <w:pStyle w:val="PageNumber"/>
    </w:pPr>
    <w:r>
      <w:t>C-</w:t>
    </w:r>
    <w:fldSimple w:instr=" PAGE   \* MERGEFORMAT ">
      <w:r w:rsidR="005F735D">
        <w:rPr>
          <w:noProof/>
        </w:rPr>
        <w:t>16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43E" w:rsidRDefault="00E3043E">
      <w:r>
        <w:separator/>
      </w:r>
    </w:p>
  </w:footnote>
  <w:footnote w:type="continuationSeparator" w:id="1">
    <w:p w:rsidR="00E3043E" w:rsidRDefault="00E304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36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F32"/>
    <w:rsid w:val="0004646E"/>
    <w:rsid w:val="00046885"/>
    <w:rsid w:val="0005238C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45B3"/>
    <w:rsid w:val="000A5314"/>
    <w:rsid w:val="000A57FE"/>
    <w:rsid w:val="000A6FBE"/>
    <w:rsid w:val="000A716C"/>
    <w:rsid w:val="000A7737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51BE"/>
    <w:rsid w:val="000C5614"/>
    <w:rsid w:val="000C5A83"/>
    <w:rsid w:val="000C5E28"/>
    <w:rsid w:val="000C6C77"/>
    <w:rsid w:val="000C7773"/>
    <w:rsid w:val="000C783A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25E4"/>
    <w:rsid w:val="00122E77"/>
    <w:rsid w:val="00123037"/>
    <w:rsid w:val="00123BC2"/>
    <w:rsid w:val="0012500B"/>
    <w:rsid w:val="001253EA"/>
    <w:rsid w:val="001263E8"/>
    <w:rsid w:val="0012743B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BA9"/>
    <w:rsid w:val="00157D32"/>
    <w:rsid w:val="00160147"/>
    <w:rsid w:val="00160828"/>
    <w:rsid w:val="001631F9"/>
    <w:rsid w:val="001633B1"/>
    <w:rsid w:val="0016518B"/>
    <w:rsid w:val="0016619E"/>
    <w:rsid w:val="001661E1"/>
    <w:rsid w:val="00166280"/>
    <w:rsid w:val="00166456"/>
    <w:rsid w:val="00167198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D"/>
    <w:rsid w:val="00183798"/>
    <w:rsid w:val="0018424A"/>
    <w:rsid w:val="00184AC0"/>
    <w:rsid w:val="001856F7"/>
    <w:rsid w:val="0018622D"/>
    <w:rsid w:val="001867DE"/>
    <w:rsid w:val="001869CC"/>
    <w:rsid w:val="00186E08"/>
    <w:rsid w:val="001909B5"/>
    <w:rsid w:val="00191366"/>
    <w:rsid w:val="00191D99"/>
    <w:rsid w:val="00192814"/>
    <w:rsid w:val="00193D4B"/>
    <w:rsid w:val="00194127"/>
    <w:rsid w:val="00195025"/>
    <w:rsid w:val="001955AD"/>
    <w:rsid w:val="0019579F"/>
    <w:rsid w:val="001967DF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20052C"/>
    <w:rsid w:val="0020102C"/>
    <w:rsid w:val="002011C3"/>
    <w:rsid w:val="0020128A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A68"/>
    <w:rsid w:val="00262244"/>
    <w:rsid w:val="002635F9"/>
    <w:rsid w:val="00263CC8"/>
    <w:rsid w:val="00264961"/>
    <w:rsid w:val="00264CFC"/>
    <w:rsid w:val="00266075"/>
    <w:rsid w:val="00270064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689C"/>
    <w:rsid w:val="0028749E"/>
    <w:rsid w:val="00290673"/>
    <w:rsid w:val="0029112B"/>
    <w:rsid w:val="002916D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97E"/>
    <w:rsid w:val="002B2440"/>
    <w:rsid w:val="002B29DE"/>
    <w:rsid w:val="002B37CA"/>
    <w:rsid w:val="002B3DA2"/>
    <w:rsid w:val="002B7258"/>
    <w:rsid w:val="002C03A8"/>
    <w:rsid w:val="002C16A1"/>
    <w:rsid w:val="002C2306"/>
    <w:rsid w:val="002C2813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99"/>
    <w:rsid w:val="00330522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43A5"/>
    <w:rsid w:val="003545B8"/>
    <w:rsid w:val="003546D7"/>
    <w:rsid w:val="00354D22"/>
    <w:rsid w:val="00357411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2FFC"/>
    <w:rsid w:val="00373C6B"/>
    <w:rsid w:val="0037419E"/>
    <w:rsid w:val="00374D21"/>
    <w:rsid w:val="0037620D"/>
    <w:rsid w:val="00376281"/>
    <w:rsid w:val="003774CA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384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B8A"/>
    <w:rsid w:val="003D1C5F"/>
    <w:rsid w:val="003D1F68"/>
    <w:rsid w:val="003D2FB5"/>
    <w:rsid w:val="003D3282"/>
    <w:rsid w:val="003D33F6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70E7"/>
    <w:rsid w:val="00407ECC"/>
    <w:rsid w:val="004115FD"/>
    <w:rsid w:val="00412026"/>
    <w:rsid w:val="00412329"/>
    <w:rsid w:val="00413019"/>
    <w:rsid w:val="0041352B"/>
    <w:rsid w:val="004140CB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894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4232"/>
    <w:rsid w:val="004D458A"/>
    <w:rsid w:val="004D48FB"/>
    <w:rsid w:val="004D4E5A"/>
    <w:rsid w:val="004D50AB"/>
    <w:rsid w:val="004D70D3"/>
    <w:rsid w:val="004D7FF1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757"/>
    <w:rsid w:val="00553847"/>
    <w:rsid w:val="00553ACA"/>
    <w:rsid w:val="00555178"/>
    <w:rsid w:val="005567B2"/>
    <w:rsid w:val="005575CB"/>
    <w:rsid w:val="005579F0"/>
    <w:rsid w:val="00557AC6"/>
    <w:rsid w:val="00560B5E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2F3"/>
    <w:rsid w:val="005804E6"/>
    <w:rsid w:val="00580745"/>
    <w:rsid w:val="00581953"/>
    <w:rsid w:val="00582793"/>
    <w:rsid w:val="00582D1A"/>
    <w:rsid w:val="00583C51"/>
    <w:rsid w:val="005851BB"/>
    <w:rsid w:val="005854DF"/>
    <w:rsid w:val="00585AA3"/>
    <w:rsid w:val="00587147"/>
    <w:rsid w:val="00587EAE"/>
    <w:rsid w:val="0059218C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735D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ACB"/>
    <w:rsid w:val="00640A3D"/>
    <w:rsid w:val="006417B2"/>
    <w:rsid w:val="00641976"/>
    <w:rsid w:val="0064237A"/>
    <w:rsid w:val="0064299E"/>
    <w:rsid w:val="00643CD1"/>
    <w:rsid w:val="00643FAE"/>
    <w:rsid w:val="00644A62"/>
    <w:rsid w:val="00644C26"/>
    <w:rsid w:val="0064525A"/>
    <w:rsid w:val="00645366"/>
    <w:rsid w:val="00645B3D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4797"/>
    <w:rsid w:val="006647EC"/>
    <w:rsid w:val="00664A98"/>
    <w:rsid w:val="00664B44"/>
    <w:rsid w:val="0066506F"/>
    <w:rsid w:val="006702F7"/>
    <w:rsid w:val="0067051F"/>
    <w:rsid w:val="00670709"/>
    <w:rsid w:val="006726DF"/>
    <w:rsid w:val="00673DB3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2A1D"/>
    <w:rsid w:val="006C2B39"/>
    <w:rsid w:val="006C4295"/>
    <w:rsid w:val="006C511D"/>
    <w:rsid w:val="006C64AF"/>
    <w:rsid w:val="006C733A"/>
    <w:rsid w:val="006D0419"/>
    <w:rsid w:val="006D0A40"/>
    <w:rsid w:val="006D1961"/>
    <w:rsid w:val="006D3159"/>
    <w:rsid w:val="006D3E3F"/>
    <w:rsid w:val="006D4405"/>
    <w:rsid w:val="006D44D2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12EC"/>
    <w:rsid w:val="00723973"/>
    <w:rsid w:val="00724B46"/>
    <w:rsid w:val="00724C00"/>
    <w:rsid w:val="00724CE6"/>
    <w:rsid w:val="00725342"/>
    <w:rsid w:val="00725947"/>
    <w:rsid w:val="00725BE7"/>
    <w:rsid w:val="007279AE"/>
    <w:rsid w:val="00730560"/>
    <w:rsid w:val="007311F1"/>
    <w:rsid w:val="007317D5"/>
    <w:rsid w:val="00732751"/>
    <w:rsid w:val="00732791"/>
    <w:rsid w:val="00732D3E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410E6"/>
    <w:rsid w:val="00741F45"/>
    <w:rsid w:val="007425BA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51"/>
    <w:rsid w:val="00765E61"/>
    <w:rsid w:val="00765E70"/>
    <w:rsid w:val="00766730"/>
    <w:rsid w:val="007673A7"/>
    <w:rsid w:val="0076784D"/>
    <w:rsid w:val="00767BA7"/>
    <w:rsid w:val="00771122"/>
    <w:rsid w:val="007727C2"/>
    <w:rsid w:val="00772D90"/>
    <w:rsid w:val="007734FE"/>
    <w:rsid w:val="007746D7"/>
    <w:rsid w:val="00775186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5E97"/>
    <w:rsid w:val="008165AD"/>
    <w:rsid w:val="00816ED9"/>
    <w:rsid w:val="00817155"/>
    <w:rsid w:val="008176F2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A52"/>
    <w:rsid w:val="00851EBF"/>
    <w:rsid w:val="00852F67"/>
    <w:rsid w:val="00853D61"/>
    <w:rsid w:val="00854745"/>
    <w:rsid w:val="00854E0E"/>
    <w:rsid w:val="00854EF6"/>
    <w:rsid w:val="008563FD"/>
    <w:rsid w:val="00856587"/>
    <w:rsid w:val="00856B5C"/>
    <w:rsid w:val="008609F0"/>
    <w:rsid w:val="00860D05"/>
    <w:rsid w:val="00861549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DC5"/>
    <w:rsid w:val="00961433"/>
    <w:rsid w:val="00963987"/>
    <w:rsid w:val="00963D24"/>
    <w:rsid w:val="00964076"/>
    <w:rsid w:val="00965468"/>
    <w:rsid w:val="009668A2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C3F"/>
    <w:rsid w:val="009D7418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668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6261B"/>
    <w:rsid w:val="00A62D91"/>
    <w:rsid w:val="00A63AAC"/>
    <w:rsid w:val="00A6400F"/>
    <w:rsid w:val="00A646B0"/>
    <w:rsid w:val="00A66390"/>
    <w:rsid w:val="00A67182"/>
    <w:rsid w:val="00A67CA2"/>
    <w:rsid w:val="00A7184D"/>
    <w:rsid w:val="00A71FA6"/>
    <w:rsid w:val="00A735BD"/>
    <w:rsid w:val="00A75E0E"/>
    <w:rsid w:val="00A75F11"/>
    <w:rsid w:val="00A76F1D"/>
    <w:rsid w:val="00A77361"/>
    <w:rsid w:val="00A77909"/>
    <w:rsid w:val="00A77D78"/>
    <w:rsid w:val="00A81D0F"/>
    <w:rsid w:val="00A82095"/>
    <w:rsid w:val="00A8217B"/>
    <w:rsid w:val="00A824AF"/>
    <w:rsid w:val="00A831F8"/>
    <w:rsid w:val="00A83BFF"/>
    <w:rsid w:val="00A84002"/>
    <w:rsid w:val="00A842F4"/>
    <w:rsid w:val="00A845D9"/>
    <w:rsid w:val="00A858CF"/>
    <w:rsid w:val="00A85DD5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6E4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20024"/>
    <w:rsid w:val="00B20520"/>
    <w:rsid w:val="00B21154"/>
    <w:rsid w:val="00B2115E"/>
    <w:rsid w:val="00B2174B"/>
    <w:rsid w:val="00B2267A"/>
    <w:rsid w:val="00B246B8"/>
    <w:rsid w:val="00B24BC4"/>
    <w:rsid w:val="00B25581"/>
    <w:rsid w:val="00B25D9D"/>
    <w:rsid w:val="00B25E40"/>
    <w:rsid w:val="00B26BA0"/>
    <w:rsid w:val="00B31023"/>
    <w:rsid w:val="00B31E1A"/>
    <w:rsid w:val="00B322CC"/>
    <w:rsid w:val="00B32918"/>
    <w:rsid w:val="00B337B7"/>
    <w:rsid w:val="00B338F7"/>
    <w:rsid w:val="00B34014"/>
    <w:rsid w:val="00B34DEC"/>
    <w:rsid w:val="00B34E7F"/>
    <w:rsid w:val="00B36062"/>
    <w:rsid w:val="00B363EB"/>
    <w:rsid w:val="00B365FC"/>
    <w:rsid w:val="00B36C4A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80133"/>
    <w:rsid w:val="00B80C8A"/>
    <w:rsid w:val="00B81046"/>
    <w:rsid w:val="00B813E0"/>
    <w:rsid w:val="00B825C3"/>
    <w:rsid w:val="00B82FDB"/>
    <w:rsid w:val="00B84421"/>
    <w:rsid w:val="00B85698"/>
    <w:rsid w:val="00B861EF"/>
    <w:rsid w:val="00B86319"/>
    <w:rsid w:val="00B86DC5"/>
    <w:rsid w:val="00B87637"/>
    <w:rsid w:val="00B87E9A"/>
    <w:rsid w:val="00B90BF2"/>
    <w:rsid w:val="00B9218A"/>
    <w:rsid w:val="00B93559"/>
    <w:rsid w:val="00B943E4"/>
    <w:rsid w:val="00B95243"/>
    <w:rsid w:val="00B96946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245A"/>
    <w:rsid w:val="00BC2830"/>
    <w:rsid w:val="00BC308D"/>
    <w:rsid w:val="00BC5521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6737"/>
    <w:rsid w:val="00C36870"/>
    <w:rsid w:val="00C373E6"/>
    <w:rsid w:val="00C376C6"/>
    <w:rsid w:val="00C3778D"/>
    <w:rsid w:val="00C377E8"/>
    <w:rsid w:val="00C37E18"/>
    <w:rsid w:val="00C403CB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76FE"/>
    <w:rsid w:val="00C518F9"/>
    <w:rsid w:val="00C52234"/>
    <w:rsid w:val="00C527C5"/>
    <w:rsid w:val="00C5389B"/>
    <w:rsid w:val="00C538A7"/>
    <w:rsid w:val="00C53BC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62C1"/>
    <w:rsid w:val="00C8661A"/>
    <w:rsid w:val="00C86AC8"/>
    <w:rsid w:val="00C8701B"/>
    <w:rsid w:val="00C87ABD"/>
    <w:rsid w:val="00C87BC6"/>
    <w:rsid w:val="00C903B2"/>
    <w:rsid w:val="00C90416"/>
    <w:rsid w:val="00C912E2"/>
    <w:rsid w:val="00C91CF3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12D7"/>
    <w:rsid w:val="00D41408"/>
    <w:rsid w:val="00D41C41"/>
    <w:rsid w:val="00D4337B"/>
    <w:rsid w:val="00D43623"/>
    <w:rsid w:val="00D43858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8EB"/>
    <w:rsid w:val="00D70AD6"/>
    <w:rsid w:val="00D710F4"/>
    <w:rsid w:val="00D71ABC"/>
    <w:rsid w:val="00D72B76"/>
    <w:rsid w:val="00D73BB9"/>
    <w:rsid w:val="00D744A8"/>
    <w:rsid w:val="00D74F4B"/>
    <w:rsid w:val="00D75018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979"/>
    <w:rsid w:val="00DB6E5D"/>
    <w:rsid w:val="00DB6F01"/>
    <w:rsid w:val="00DC04C0"/>
    <w:rsid w:val="00DC086C"/>
    <w:rsid w:val="00DC235C"/>
    <w:rsid w:val="00DC2450"/>
    <w:rsid w:val="00DC2715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3007"/>
    <w:rsid w:val="00E13727"/>
    <w:rsid w:val="00E13FD0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43E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48A"/>
    <w:rsid w:val="00E42961"/>
    <w:rsid w:val="00E436F6"/>
    <w:rsid w:val="00E43F31"/>
    <w:rsid w:val="00E43FC8"/>
    <w:rsid w:val="00E442E3"/>
    <w:rsid w:val="00E46F70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F25"/>
    <w:rsid w:val="00EA0AC1"/>
    <w:rsid w:val="00EA0D2D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61D8"/>
    <w:rsid w:val="00ED02FB"/>
    <w:rsid w:val="00ED09CF"/>
    <w:rsid w:val="00ED10D1"/>
    <w:rsid w:val="00ED2B2E"/>
    <w:rsid w:val="00ED2C48"/>
    <w:rsid w:val="00ED3680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B23"/>
    <w:rsid w:val="00F35DE0"/>
    <w:rsid w:val="00F36A14"/>
    <w:rsid w:val="00F37AFA"/>
    <w:rsid w:val="00F37CC3"/>
    <w:rsid w:val="00F4062C"/>
    <w:rsid w:val="00F41804"/>
    <w:rsid w:val="00F41C1A"/>
    <w:rsid w:val="00F422EF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566"/>
    <w:rsid w:val="00F90BAD"/>
    <w:rsid w:val="00F914D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344"/>
    <w:rsid w:val="00F95F4C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C137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C2A07-1E44-46E5-9B11-4448538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4512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admin</cp:lastModifiedBy>
  <cp:revision>3</cp:revision>
  <cp:lastPrinted>2014-08-21T20:03:00Z</cp:lastPrinted>
  <dcterms:created xsi:type="dcterms:W3CDTF">2014-10-11T08:18:00Z</dcterms:created>
  <dcterms:modified xsi:type="dcterms:W3CDTF">2014-10-11T10:08:00Z</dcterms:modified>
</cp:coreProperties>
</file>