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Toc363826606"/>
      <w:bookmarkStart w:id="1" w:name="_Toc365038604"/>
      <w:r>
        <w:t>Table C-</w:t>
      </w:r>
      <w:r>
        <w:rPr>
          <w:noProof/>
        </w:rPr>
        <w:t>62</w:t>
      </w:r>
      <w:r>
        <w:t>.</w:t>
      </w:r>
      <w:r>
        <w:tab/>
        <w:t>Patient details: MRI factors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3672"/>
        <w:gridCol w:w="3816"/>
        <w:gridCol w:w="3744"/>
      </w:tblGrid>
      <w:tr w:rsidR="00AD7791" w:rsidRPr="004B39CD" w:rsidTr="00AD7791">
        <w:trPr>
          <w:trHeight w:val="300"/>
          <w:jc w:val="center"/>
        </w:trPr>
        <w:tc>
          <w:tcPr>
            <w:tcW w:w="17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4B39CD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4B39CD">
              <w:rPr>
                <w:b/>
              </w:rPr>
              <w:t>Study</w:t>
            </w:r>
          </w:p>
        </w:tc>
        <w:tc>
          <w:tcPr>
            <w:tcW w:w="36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B39CD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4B39CD">
              <w:rPr>
                <w:b/>
              </w:rPr>
              <w:t>Type of Cancer</w:t>
            </w:r>
          </w:p>
        </w:tc>
        <w:tc>
          <w:tcPr>
            <w:tcW w:w="3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B39CD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4B39CD">
              <w:rPr>
                <w:b/>
              </w:rPr>
              <w:t>Age</w:t>
            </w:r>
          </w:p>
        </w:tc>
        <w:tc>
          <w:tcPr>
            <w:tcW w:w="37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B39CD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4B39CD">
              <w:rPr>
                <w:b/>
              </w:rPr>
              <w:t>% Male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>
              <w:t>Macera et al. 2013</w:t>
            </w:r>
            <w:r w:rsidRPr="00215F35">
              <w:rPr>
                <w:vertAlign w:val="superscript"/>
              </w:rPr>
              <w:t>204</w:t>
            </w:r>
          </w:p>
        </w:tc>
        <w:tc>
          <w:tcPr>
            <w:tcW w:w="3672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>
              <w:t>Colorectal liver metastases</w:t>
            </w:r>
          </w:p>
        </w:tc>
        <w:tc>
          <w:tcPr>
            <w:tcW w:w="3816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>
              <w:t>Median: 65 years (Range: 45–78)</w:t>
            </w:r>
          </w:p>
        </w:tc>
        <w:tc>
          <w:tcPr>
            <w:tcW w:w="3744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>
              <w:t>75%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Koh et al. </w:t>
            </w:r>
            <w:r>
              <w:br/>
              <w:t>2</w:t>
            </w:r>
            <w:r w:rsidRPr="00F83E02">
              <w:t>012</w:t>
            </w:r>
            <w:r w:rsidRPr="00215F35">
              <w:rPr>
                <w:vertAlign w:val="superscript"/>
              </w:rPr>
              <w:t>192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Colorectal liver metastases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Mean</w:t>
            </w:r>
            <w:r>
              <w:t>: 64.4 years (R</w:t>
            </w:r>
            <w:r w:rsidRPr="00F83E02">
              <w:t>ange</w:t>
            </w:r>
            <w:r>
              <w:t>:</w:t>
            </w:r>
            <w:r w:rsidRPr="00F83E02">
              <w:t xml:space="preserve"> 46</w:t>
            </w:r>
            <w:r>
              <w:t>–</w:t>
            </w:r>
            <w:r w:rsidRPr="00F83E02">
              <w:t>78)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61%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Lambregts et al. </w:t>
            </w:r>
            <w:r>
              <w:t>2</w:t>
            </w:r>
            <w:r w:rsidRPr="00F83E02">
              <w:t>011</w:t>
            </w:r>
            <w:r w:rsidRPr="00215F35">
              <w:rPr>
                <w:vertAlign w:val="superscript"/>
              </w:rPr>
              <w:t>203</w:t>
            </w:r>
          </w:p>
        </w:tc>
        <w:tc>
          <w:tcPr>
            <w:tcW w:w="3672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Locally advanced rectal</w:t>
            </w:r>
          </w:p>
        </w:tc>
        <w:tc>
          <w:tcPr>
            <w:tcW w:w="3816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Median</w:t>
            </w:r>
            <w:r>
              <w:t>:</w:t>
            </w:r>
            <w:r w:rsidRPr="00F83E02">
              <w:t xml:space="preserve"> 71 years (</w:t>
            </w:r>
            <w:r>
              <w:t>R</w:t>
            </w:r>
            <w:r w:rsidRPr="00F83E02">
              <w:t>ange</w:t>
            </w:r>
            <w:r>
              <w:t>:</w:t>
            </w:r>
            <w:r w:rsidRPr="00F83E02">
              <w:t xml:space="preserve"> 47</w:t>
            </w:r>
            <w:r>
              <w:t>–</w:t>
            </w:r>
            <w:r w:rsidRPr="00F83E02">
              <w:t>90)</w:t>
            </w:r>
          </w:p>
        </w:tc>
        <w:tc>
          <w:tcPr>
            <w:tcW w:w="3744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83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Jao et al. </w:t>
            </w:r>
            <w:r>
              <w:br/>
              <w:t>2</w:t>
            </w:r>
            <w:r w:rsidRPr="00F83E02">
              <w:t>010</w:t>
            </w:r>
            <w:r w:rsidRPr="00215F35">
              <w:rPr>
                <w:vertAlign w:val="superscript"/>
              </w:rPr>
              <w:t>193</w:t>
            </w:r>
          </w:p>
        </w:tc>
        <w:tc>
          <w:tcPr>
            <w:tcW w:w="3672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Rectal</w:t>
            </w:r>
          </w:p>
        </w:tc>
        <w:tc>
          <w:tcPr>
            <w:tcW w:w="3816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Mean age</w:t>
            </w:r>
            <w:r>
              <w:t>: 65 years (M</w:t>
            </w:r>
            <w:r w:rsidRPr="00F83E02">
              <w:t xml:space="preserve">ales), </w:t>
            </w:r>
            <w:r>
              <w:br/>
            </w:r>
            <w:r w:rsidRPr="00F83E02">
              <w:t>Mean age</w:t>
            </w:r>
            <w:r>
              <w:t>: 64 years (F</w:t>
            </w:r>
            <w:r w:rsidRPr="00F83E02">
              <w:t>emales)</w:t>
            </w:r>
          </w:p>
        </w:tc>
        <w:tc>
          <w:tcPr>
            <w:tcW w:w="3744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60%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Kim et al. </w:t>
            </w:r>
            <w:r>
              <w:br/>
              <w:t>2</w:t>
            </w:r>
            <w:r w:rsidRPr="00F83E02">
              <w:t>010</w:t>
            </w:r>
            <w:r w:rsidRPr="00215F35">
              <w:rPr>
                <w:vertAlign w:val="superscript"/>
              </w:rPr>
              <w:t>229</w:t>
            </w:r>
          </w:p>
        </w:tc>
        <w:tc>
          <w:tcPr>
            <w:tcW w:w="3672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Rectal</w:t>
            </w:r>
          </w:p>
        </w:tc>
        <w:tc>
          <w:tcPr>
            <w:tcW w:w="3816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Mean</w:t>
            </w:r>
            <w:r>
              <w:t>:</w:t>
            </w:r>
            <w:r w:rsidRPr="00F83E02">
              <w:t xml:space="preserve"> 58.4 years (SD</w:t>
            </w:r>
            <w:r>
              <w:t>:</w:t>
            </w:r>
            <w:r w:rsidRPr="00F83E02">
              <w:t xml:space="preserve"> 11.6) </w:t>
            </w:r>
            <w:r>
              <w:t>(</w:t>
            </w:r>
            <w:r w:rsidRPr="004C4817">
              <w:t>Range: 29–81</w:t>
            </w:r>
            <w:r>
              <w:t>)</w:t>
            </w:r>
          </w:p>
        </w:tc>
        <w:tc>
          <w:tcPr>
            <w:tcW w:w="3744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62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Futterer et al. </w:t>
            </w:r>
            <w:r>
              <w:t>2</w:t>
            </w:r>
            <w:r w:rsidRPr="00F83E02">
              <w:t>008</w:t>
            </w:r>
            <w:r w:rsidRPr="00215F35">
              <w:rPr>
                <w:vertAlign w:val="superscript"/>
              </w:rPr>
              <w:t>197</w:t>
            </w:r>
          </w:p>
        </w:tc>
        <w:tc>
          <w:tcPr>
            <w:tcW w:w="3672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Rectal</w:t>
            </w:r>
          </w:p>
        </w:tc>
        <w:tc>
          <w:tcPr>
            <w:tcW w:w="3816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Mean age</w:t>
            </w:r>
            <w:r>
              <w:t>:</w:t>
            </w:r>
            <w:r w:rsidRPr="00F83E02">
              <w:t xml:space="preserve"> 63 years (</w:t>
            </w:r>
            <w:r>
              <w:t>R</w:t>
            </w:r>
            <w:r w:rsidRPr="00F83E02">
              <w:t>ange</w:t>
            </w:r>
            <w:r>
              <w:t>:</w:t>
            </w:r>
            <w:r w:rsidRPr="00F83E02">
              <w:t xml:space="preserve"> 33</w:t>
            </w:r>
            <w:r>
              <w:t>–</w:t>
            </w:r>
            <w:r w:rsidRPr="00F83E02">
              <w:t>79)</w:t>
            </w:r>
          </w:p>
        </w:tc>
        <w:tc>
          <w:tcPr>
            <w:tcW w:w="3744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Not reported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Vliegen et al. </w:t>
            </w:r>
            <w:r>
              <w:t>2</w:t>
            </w:r>
            <w:r w:rsidRPr="00F83E02">
              <w:t>005</w:t>
            </w:r>
            <w:r w:rsidRPr="00215F35">
              <w:rPr>
                <w:vertAlign w:val="superscript"/>
              </w:rPr>
              <w:t>194</w:t>
            </w:r>
          </w:p>
        </w:tc>
        <w:tc>
          <w:tcPr>
            <w:tcW w:w="3672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Primary operable rectal</w:t>
            </w:r>
          </w:p>
        </w:tc>
        <w:tc>
          <w:tcPr>
            <w:tcW w:w="3816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Mean</w:t>
            </w:r>
            <w:r>
              <w:t>:</w:t>
            </w:r>
            <w:r w:rsidRPr="00F83E02">
              <w:t xml:space="preserve"> 64 years (</w:t>
            </w:r>
            <w:r>
              <w:t>R</w:t>
            </w:r>
            <w:r w:rsidRPr="00F83E02">
              <w:t>ange</w:t>
            </w:r>
            <w:r>
              <w:t>: 15–85) M</w:t>
            </w:r>
            <w:r w:rsidRPr="00F83E02">
              <w:t>ales</w:t>
            </w:r>
            <w:r>
              <w:t>, Mean: 66 years (Range: 36–86) F</w:t>
            </w:r>
            <w:r w:rsidRPr="00F83E02">
              <w:t>emales</w:t>
            </w:r>
          </w:p>
        </w:tc>
        <w:tc>
          <w:tcPr>
            <w:tcW w:w="3744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73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Kim et al. </w:t>
            </w:r>
            <w:r>
              <w:br/>
              <w:t>2</w:t>
            </w:r>
            <w:r w:rsidRPr="00F83E02">
              <w:t>004</w:t>
            </w:r>
            <w:r w:rsidRPr="00215F35">
              <w:rPr>
                <w:vertAlign w:val="superscript"/>
              </w:rPr>
              <w:t>196</w:t>
            </w:r>
          </w:p>
        </w:tc>
        <w:tc>
          <w:tcPr>
            <w:tcW w:w="3672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Rectal</w:t>
            </w:r>
          </w:p>
        </w:tc>
        <w:tc>
          <w:tcPr>
            <w:tcW w:w="3816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Mean</w:t>
            </w:r>
            <w:r>
              <w:t>:</w:t>
            </w:r>
            <w:r w:rsidRPr="00F83E02">
              <w:t xml:space="preserve"> 56 years (</w:t>
            </w:r>
            <w:r>
              <w:t>R</w:t>
            </w:r>
            <w:r w:rsidRPr="00F83E02">
              <w:t>ange</w:t>
            </w:r>
            <w:r>
              <w:t>:</w:t>
            </w:r>
            <w:r w:rsidRPr="00F83E02">
              <w:t xml:space="preserve"> 2</w:t>
            </w:r>
            <w:r>
              <w:t>–</w:t>
            </w:r>
            <w:r w:rsidRPr="00F83E02">
              <w:t>80)</w:t>
            </w:r>
          </w:p>
        </w:tc>
        <w:tc>
          <w:tcPr>
            <w:tcW w:w="3744" w:type="dxa"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67.7</w:t>
            </w:r>
          </w:p>
        </w:tc>
      </w:tr>
      <w:tr w:rsidR="00AD7791" w:rsidRPr="00F83E02" w:rsidTr="00AD7791">
        <w:trPr>
          <w:trHeight w:val="300"/>
          <w:jc w:val="center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 xml:space="preserve">Okizuka et al. </w:t>
            </w:r>
            <w:r>
              <w:t>1</w:t>
            </w:r>
            <w:r w:rsidRPr="00F83E02">
              <w:t>996</w:t>
            </w:r>
            <w:r w:rsidRPr="00215F35">
              <w:rPr>
                <w:vertAlign w:val="superscript"/>
              </w:rPr>
              <w:t>195</w:t>
            </w:r>
          </w:p>
        </w:tc>
        <w:tc>
          <w:tcPr>
            <w:tcW w:w="3672" w:type="dxa"/>
            <w:tcBorders>
              <w:bottom w:val="single" w:sz="12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Rectal</w:t>
            </w:r>
          </w:p>
        </w:tc>
        <w:tc>
          <w:tcPr>
            <w:tcW w:w="3816" w:type="dxa"/>
            <w:tcBorders>
              <w:bottom w:val="single" w:sz="12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Mean</w:t>
            </w:r>
            <w:r>
              <w:t>:</w:t>
            </w:r>
            <w:r w:rsidRPr="00F83E02">
              <w:t xml:space="preserve"> 65 years (</w:t>
            </w:r>
            <w:r>
              <w:t>R</w:t>
            </w:r>
            <w:r w:rsidRPr="00F83E02">
              <w:t>ange</w:t>
            </w:r>
            <w:r>
              <w:t>:</w:t>
            </w:r>
            <w:r w:rsidRPr="00F83E02">
              <w:t xml:space="preserve"> 45</w:t>
            </w:r>
            <w:r>
              <w:t>–</w:t>
            </w:r>
            <w:r w:rsidRPr="00F83E02">
              <w:t>85)</w:t>
            </w:r>
          </w:p>
        </w:tc>
        <w:tc>
          <w:tcPr>
            <w:tcW w:w="3744" w:type="dxa"/>
            <w:tcBorders>
              <w:bottom w:val="single" w:sz="12" w:space="0" w:color="auto"/>
            </w:tcBorders>
          </w:tcPr>
          <w:p w:rsidR="00AD7791" w:rsidRPr="00F83E02" w:rsidRDefault="00AD7791" w:rsidP="00AD7791">
            <w:pPr>
              <w:pStyle w:val="TableText"/>
              <w:spacing w:before="32" w:after="16"/>
            </w:pPr>
            <w:r w:rsidRPr="00F83E02">
              <w:t>78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C910C2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D9" w:rsidRDefault="002856D9">
      <w:r>
        <w:separator/>
      </w:r>
    </w:p>
  </w:endnote>
  <w:endnote w:type="continuationSeparator" w:id="1">
    <w:p w:rsidR="002856D9" w:rsidRDefault="0028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C2" w:rsidRDefault="00C910C2" w:rsidP="00C910C2">
    <w:pPr>
      <w:pStyle w:val="PageNumber"/>
      <w:tabs>
        <w:tab w:val="center" w:pos="6480"/>
        <w:tab w:val="left" w:pos="7356"/>
      </w:tabs>
    </w:pPr>
    <w:r>
      <w:t>C-</w:t>
    </w:r>
    <w:r w:rsidR="00855D2C">
      <w:t>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D9" w:rsidRDefault="002856D9">
      <w:r>
        <w:separator/>
      </w:r>
    </w:p>
  </w:footnote>
  <w:footnote w:type="continuationSeparator" w:id="1">
    <w:p w:rsidR="002856D9" w:rsidRDefault="00285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237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56D9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5D2C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44B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0C2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48A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826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2014-10-11T09:34:00Z</dcterms:created>
  <dcterms:modified xsi:type="dcterms:W3CDTF">2014-10-11T10:27:00Z</dcterms:modified>
</cp:coreProperties>
</file>