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2862786"/>
      <w:bookmarkStart w:id="1" w:name="_Toc363826595"/>
      <w:bookmarkStart w:id="2" w:name="_Toc365038593"/>
      <w:r w:rsidRPr="00DB6F01">
        <w:t>Table C-</w:t>
      </w:r>
      <w:r>
        <w:rPr>
          <w:noProof/>
        </w:rPr>
        <w:t>52</w:t>
      </w:r>
      <w:bookmarkEnd w:id="0"/>
      <w:r w:rsidRPr="00DB6F01">
        <w:t>.</w:t>
      </w:r>
      <w:r w:rsidRPr="00DB6F01">
        <w:tab/>
        <w:t>Reported data: CT versus MRI versus ERUS interim rectal restaging N</w:t>
      </w:r>
      <w:bookmarkEnd w:id="1"/>
      <w:bookmarkEnd w:id="2"/>
    </w:p>
    <w:tbl>
      <w:tblPr>
        <w:tblW w:w="129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1"/>
        <w:gridCol w:w="1510"/>
        <w:gridCol w:w="2573"/>
        <w:gridCol w:w="2573"/>
        <w:gridCol w:w="2573"/>
      </w:tblGrid>
      <w:tr w:rsidR="00AD7791" w:rsidRPr="00D842E3" w:rsidTr="00AD7791">
        <w:trPr>
          <w:trHeight w:val="20"/>
        </w:trPr>
        <w:tc>
          <w:tcPr>
            <w:tcW w:w="378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D842E3">
              <w:rPr>
                <w:b/>
              </w:rPr>
              <w:t>Study</w:t>
            </w:r>
            <w:r>
              <w:rPr>
                <w:b/>
              </w:rPr>
              <w:t xml:space="preserve">, 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 xml:space="preserve">N patients, </w:t>
            </w:r>
          </w:p>
          <w:p w:rsidR="00AD7791" w:rsidRPr="00D842E3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Authors Conclusions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D842E3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D842E3">
              <w:rPr>
                <w:b/>
              </w:rPr>
              <w:t>CT</w:t>
            </w:r>
          </w:p>
          <w:p w:rsidR="00AD7791" w:rsidRPr="00D842E3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N Stage Data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D842E3">
              <w:rPr>
                <w:b/>
              </w:rPr>
              <w:t>MRI</w:t>
            </w:r>
          </w:p>
          <w:p w:rsidR="00AD7791" w:rsidRPr="00D842E3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N Stage Data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D842E3">
              <w:rPr>
                <w:b/>
              </w:rPr>
              <w:t>ERUS</w:t>
            </w:r>
          </w:p>
          <w:p w:rsidR="00AD7791" w:rsidRPr="00D842E3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N Stage Data</w:t>
            </w:r>
          </w:p>
        </w:tc>
      </w:tr>
      <w:tr w:rsidR="00AD7791" w:rsidRPr="00D842E3" w:rsidTr="00AD7791">
        <w:trPr>
          <w:trHeight w:val="20"/>
        </w:trPr>
        <w:tc>
          <w:tcPr>
            <w:tcW w:w="3787" w:type="dxa"/>
            <w:vMerge w:val="restart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 w:rsidRPr="00D842E3">
              <w:t>Martellucci et al. 2012</w:t>
            </w:r>
            <w:r w:rsidRPr="00215F35">
              <w:rPr>
                <w:vertAlign w:val="superscript"/>
              </w:rPr>
              <w:t>199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D842E3">
              <w:t>37 patients</w:t>
            </w:r>
          </w:p>
          <w:p w:rsidR="00AD7791" w:rsidRPr="00D842E3" w:rsidRDefault="00AD7791" w:rsidP="00AD7791">
            <w:pPr>
              <w:pStyle w:val="TableText"/>
              <w:spacing w:before="240" w:after="16"/>
            </w:pPr>
            <w:r>
              <w:t xml:space="preserve">Authors conclusion: </w:t>
            </w:r>
            <w:r w:rsidRPr="00DB6F01">
              <w:rPr>
                <w:b/>
              </w:rPr>
              <w:t>ERUS is better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</w:pPr>
            <w:r w:rsidRPr="00D842E3">
              <w:t>Accuracy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56.5%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55.0%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75.5%</w:t>
            </w:r>
          </w:p>
        </w:tc>
      </w:tr>
      <w:tr w:rsidR="00AD7791" w:rsidRPr="00D842E3" w:rsidTr="00AD7791">
        <w:trPr>
          <w:trHeight w:val="20"/>
        </w:trPr>
        <w:tc>
          <w:tcPr>
            <w:tcW w:w="3787" w:type="dxa"/>
            <w:vMerge/>
          </w:tcPr>
          <w:p w:rsidR="00AD7791" w:rsidRPr="00D842E3" w:rsidRDefault="00AD7791" w:rsidP="00AD7791">
            <w:pPr>
              <w:pStyle w:val="TableText"/>
              <w:spacing w:before="32" w:after="16"/>
            </w:pPr>
          </w:p>
        </w:tc>
        <w:tc>
          <w:tcPr>
            <w:tcW w:w="1530" w:type="dxa"/>
          </w:tcPr>
          <w:p w:rsidR="00AD7791" w:rsidRPr="00D842E3" w:rsidRDefault="00AD7791" w:rsidP="00AD7791">
            <w:pPr>
              <w:pStyle w:val="TableText"/>
              <w:spacing w:before="32" w:after="16"/>
            </w:pPr>
            <w:r w:rsidRPr="00D842E3">
              <w:t>Sensitivity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62.5%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50.0%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37.5%</w:t>
            </w:r>
          </w:p>
        </w:tc>
      </w:tr>
      <w:tr w:rsidR="00AD7791" w:rsidRPr="00D842E3" w:rsidTr="00AD7791">
        <w:trPr>
          <w:trHeight w:val="20"/>
        </w:trPr>
        <w:tc>
          <w:tcPr>
            <w:tcW w:w="3787" w:type="dxa"/>
            <w:vMerge/>
            <w:tcBorders>
              <w:bottom w:val="sing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</w:pPr>
            <w:r w:rsidRPr="00D842E3">
              <w:t>Specificity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55.1%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55.5%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86.2%</w:t>
            </w:r>
          </w:p>
        </w:tc>
      </w:tr>
      <w:tr w:rsidR="00AD7791" w:rsidRPr="00D842E3" w:rsidTr="00AD7791">
        <w:trPr>
          <w:trHeight w:val="20"/>
        </w:trPr>
        <w:tc>
          <w:tcPr>
            <w:tcW w:w="3787" w:type="dxa"/>
            <w:vMerge w:val="restart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 w:rsidRPr="00D842E3">
              <w:t>Pomerri et al. 2011</w:t>
            </w:r>
            <w:r w:rsidRPr="00215F35">
              <w:rPr>
                <w:vertAlign w:val="superscript"/>
              </w:rPr>
              <w:t>163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D842E3">
              <w:t>90 patients</w:t>
            </w:r>
          </w:p>
          <w:p w:rsidR="00AD7791" w:rsidRPr="00D842E3" w:rsidRDefault="00AD7791" w:rsidP="00AD7791">
            <w:pPr>
              <w:pStyle w:val="TableText"/>
              <w:spacing w:before="240" w:after="16"/>
            </w:pPr>
            <w:r>
              <w:t xml:space="preserve">Authors conclusion: </w:t>
            </w:r>
            <w:r w:rsidRPr="00DB6F01">
              <w:rPr>
                <w:b/>
              </w:rPr>
              <w:t>None were accurate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</w:pPr>
            <w:r w:rsidRPr="00D842E3">
              <w:t>Accuracy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62%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68%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65%</w:t>
            </w:r>
          </w:p>
        </w:tc>
      </w:tr>
      <w:tr w:rsidR="00AD7791" w:rsidRPr="00D842E3" w:rsidTr="00AD7791">
        <w:trPr>
          <w:trHeight w:val="20"/>
        </w:trPr>
        <w:tc>
          <w:tcPr>
            <w:tcW w:w="3787" w:type="dxa"/>
            <w:vMerge/>
          </w:tcPr>
          <w:p w:rsidR="00AD7791" w:rsidRPr="00D842E3" w:rsidRDefault="00AD7791" w:rsidP="00AD7791">
            <w:pPr>
              <w:pStyle w:val="TableText"/>
              <w:spacing w:before="32" w:after="16"/>
            </w:pPr>
          </w:p>
        </w:tc>
        <w:tc>
          <w:tcPr>
            <w:tcW w:w="1530" w:type="dxa"/>
          </w:tcPr>
          <w:p w:rsidR="00AD7791" w:rsidRPr="00D842E3" w:rsidRDefault="00AD7791" w:rsidP="00AD7791">
            <w:pPr>
              <w:pStyle w:val="TableText"/>
              <w:spacing w:before="32" w:after="16"/>
            </w:pPr>
            <w:r w:rsidRPr="00D842E3">
              <w:t>Understaged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6%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15%</w:t>
            </w:r>
          </w:p>
        </w:tc>
        <w:tc>
          <w:tcPr>
            <w:tcW w:w="2610" w:type="dxa"/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18%</w:t>
            </w:r>
          </w:p>
        </w:tc>
      </w:tr>
      <w:tr w:rsidR="00AD7791" w:rsidRPr="00D842E3" w:rsidTr="00AD7791">
        <w:trPr>
          <w:trHeight w:val="20"/>
        </w:trPr>
        <w:tc>
          <w:tcPr>
            <w:tcW w:w="3787" w:type="dxa"/>
            <w:vMerge/>
            <w:tcBorders>
              <w:bottom w:val="single" w:sz="12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</w:pPr>
            <w:r w:rsidRPr="00D842E3">
              <w:t>Overstaged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32%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18%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AD7791" w:rsidRPr="00D842E3" w:rsidRDefault="00AD7791" w:rsidP="00AD7791">
            <w:pPr>
              <w:pStyle w:val="TableText"/>
              <w:spacing w:before="32" w:after="16"/>
              <w:jc w:val="center"/>
            </w:pPr>
            <w:r w:rsidRPr="00D842E3">
              <w:t>17%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A438A6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CD" w:rsidRDefault="006740CD">
      <w:r>
        <w:separator/>
      </w:r>
    </w:p>
  </w:endnote>
  <w:endnote w:type="continuationSeparator" w:id="1">
    <w:p w:rsidR="006740CD" w:rsidRDefault="0067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A6" w:rsidRDefault="00A438A6" w:rsidP="00A438A6">
    <w:pPr>
      <w:pStyle w:val="PageNumber"/>
    </w:pPr>
    <w:r>
      <w:t>C-</w:t>
    </w:r>
    <w:r w:rsidR="00C703EF">
      <w:t>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CD" w:rsidRDefault="006740CD">
      <w:r>
        <w:separator/>
      </w:r>
    </w:p>
  </w:footnote>
  <w:footnote w:type="continuationSeparator" w:id="1">
    <w:p w:rsidR="006740CD" w:rsidRDefault="0067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2CA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60F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CD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647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8A6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03EF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521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2014-10-11T09:14:00Z</dcterms:created>
  <dcterms:modified xsi:type="dcterms:W3CDTF">2014-10-11T10:25:00Z</dcterms:modified>
</cp:coreProperties>
</file>