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17" w:rsidRDefault="00537717" w:rsidP="00AD7791">
      <w:pPr>
        <w:pStyle w:val="TableTitle"/>
        <w:tabs>
          <w:tab w:val="left" w:pos="1170"/>
        </w:tabs>
        <w:spacing w:after="20"/>
      </w:pPr>
      <w:bookmarkStart w:id="0" w:name="_Toc363826592"/>
      <w:bookmarkStart w:id="1" w:name="_Toc365038590"/>
    </w:p>
    <w:p w:rsidR="00537717" w:rsidRDefault="00537717" w:rsidP="00AD7791">
      <w:pPr>
        <w:pStyle w:val="TableTitle"/>
        <w:tabs>
          <w:tab w:val="left" w:pos="1170"/>
        </w:tabs>
        <w:spacing w:after="20"/>
      </w:pPr>
    </w:p>
    <w:p w:rsidR="00537717" w:rsidRDefault="00537717" w:rsidP="00AD7791">
      <w:pPr>
        <w:pStyle w:val="TableTitle"/>
        <w:tabs>
          <w:tab w:val="left" w:pos="1170"/>
        </w:tabs>
        <w:spacing w:after="20"/>
      </w:pPr>
    </w:p>
    <w:p w:rsidR="00537717" w:rsidRDefault="00537717" w:rsidP="00AD7791">
      <w:pPr>
        <w:pStyle w:val="TableTitle"/>
        <w:tabs>
          <w:tab w:val="left" w:pos="1170"/>
        </w:tabs>
        <w:spacing w:after="20"/>
      </w:pPr>
    </w:p>
    <w:p w:rsidR="00537717" w:rsidRDefault="00537717" w:rsidP="00AD7791">
      <w:pPr>
        <w:pStyle w:val="TableTitle"/>
        <w:tabs>
          <w:tab w:val="left" w:pos="1170"/>
        </w:tabs>
        <w:spacing w:after="20"/>
      </w:pPr>
    </w:p>
    <w:p w:rsidR="00537717" w:rsidRDefault="00537717" w:rsidP="00AD7791">
      <w:pPr>
        <w:pStyle w:val="TableTitle"/>
        <w:tabs>
          <w:tab w:val="left" w:pos="1170"/>
        </w:tabs>
        <w:spacing w:after="20"/>
      </w:pPr>
    </w:p>
    <w:p w:rsidR="00537717" w:rsidRDefault="00537717" w:rsidP="00AD7791">
      <w:pPr>
        <w:pStyle w:val="TableTitle"/>
        <w:tabs>
          <w:tab w:val="left" w:pos="1170"/>
        </w:tabs>
        <w:spacing w:after="20"/>
      </w:pPr>
    </w:p>
    <w:p w:rsidR="00537717" w:rsidRDefault="00537717" w:rsidP="00AD7791">
      <w:pPr>
        <w:pStyle w:val="TableTitle"/>
        <w:tabs>
          <w:tab w:val="left" w:pos="1170"/>
        </w:tabs>
        <w:spacing w:after="20"/>
      </w:pPr>
    </w:p>
    <w:p w:rsidR="00537717" w:rsidRDefault="00537717" w:rsidP="00AD7791">
      <w:pPr>
        <w:pStyle w:val="TableTitle"/>
        <w:tabs>
          <w:tab w:val="left" w:pos="1170"/>
        </w:tabs>
        <w:spacing w:after="20"/>
      </w:pPr>
    </w:p>
    <w:p w:rsidR="00537717" w:rsidRDefault="00537717" w:rsidP="00AD7791">
      <w:pPr>
        <w:pStyle w:val="TableTitle"/>
        <w:tabs>
          <w:tab w:val="left" w:pos="1170"/>
        </w:tabs>
        <w:spacing w:after="20"/>
      </w:pPr>
    </w:p>
    <w:p w:rsidR="00537717" w:rsidRDefault="00537717" w:rsidP="00AD7791">
      <w:pPr>
        <w:pStyle w:val="TableTitle"/>
        <w:tabs>
          <w:tab w:val="left" w:pos="1170"/>
        </w:tabs>
        <w:spacing w:after="20"/>
      </w:pPr>
    </w:p>
    <w:p w:rsidR="00AD7791" w:rsidRDefault="00AD7791" w:rsidP="00AD7791">
      <w:pPr>
        <w:pStyle w:val="TableTitle"/>
        <w:tabs>
          <w:tab w:val="left" w:pos="1170"/>
        </w:tabs>
        <w:spacing w:after="20"/>
      </w:pPr>
      <w:r>
        <w:t>Table C-</w:t>
      </w:r>
      <w:r>
        <w:rPr>
          <w:noProof/>
        </w:rPr>
        <w:t>49</w:t>
      </w:r>
      <w:r>
        <w:t>.</w:t>
      </w:r>
      <w:r>
        <w:tab/>
        <w:t>Imaging details: MRI versus CT versus ERUS</w:t>
      </w:r>
      <w:bookmarkEnd w:id="0"/>
      <w:bookmarkEnd w:id="1"/>
    </w:p>
    <w:tbl>
      <w:tblPr>
        <w:tblW w:w="12937" w:type="dxa"/>
        <w:jc w:val="center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1440"/>
        <w:gridCol w:w="1287"/>
        <w:gridCol w:w="1202"/>
        <w:gridCol w:w="1160"/>
        <w:gridCol w:w="1289"/>
        <w:gridCol w:w="1202"/>
        <w:gridCol w:w="1240"/>
        <w:gridCol w:w="1260"/>
        <w:gridCol w:w="1327"/>
      </w:tblGrid>
      <w:tr w:rsidR="00AD7791" w:rsidRPr="00D976B8" w:rsidTr="00AD7791">
        <w:trPr>
          <w:trHeight w:val="300"/>
          <w:jc w:val="center"/>
        </w:trPr>
        <w:tc>
          <w:tcPr>
            <w:tcW w:w="153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</w:tcPr>
          <w:p w:rsidR="00AD7791" w:rsidRPr="00A445D2" w:rsidRDefault="00AD7791" w:rsidP="00AD7791">
            <w:pPr>
              <w:pStyle w:val="TableLeftText"/>
              <w:spacing w:before="32" w:after="16"/>
              <w:rPr>
                <w:b/>
              </w:rPr>
            </w:pPr>
            <w:r w:rsidRPr="00A445D2">
              <w:rPr>
                <w:b/>
              </w:rPr>
              <w:t>Study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D976B8" w:rsidRDefault="00AD7791" w:rsidP="00AD7791">
            <w:pPr>
              <w:pStyle w:val="TableLeftText"/>
              <w:spacing w:before="32" w:after="16"/>
              <w:rPr>
                <w:b/>
              </w:rPr>
            </w:pPr>
            <w:r w:rsidRPr="00D976B8">
              <w:rPr>
                <w:b/>
              </w:rPr>
              <w:t>Contrast Agents</w:t>
            </w:r>
            <w:r>
              <w:rPr>
                <w:b/>
              </w:rPr>
              <w:t xml:space="preserve"> for MRI</w:t>
            </w:r>
          </w:p>
        </w:tc>
        <w:tc>
          <w:tcPr>
            <w:tcW w:w="128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D976B8" w:rsidRDefault="00AD7791" w:rsidP="00AD7791">
            <w:pPr>
              <w:pStyle w:val="TableLeftText"/>
              <w:spacing w:before="32" w:after="16"/>
              <w:rPr>
                <w:b/>
              </w:rPr>
            </w:pPr>
            <w:r w:rsidRPr="00D976B8">
              <w:rPr>
                <w:b/>
              </w:rPr>
              <w:t>Type</w:t>
            </w:r>
            <w:r>
              <w:rPr>
                <w:b/>
              </w:rPr>
              <w:t xml:space="preserve"> of MRI</w:t>
            </w:r>
          </w:p>
        </w:tc>
        <w:tc>
          <w:tcPr>
            <w:tcW w:w="120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D976B8" w:rsidRDefault="00AD7791" w:rsidP="00AD7791">
            <w:pPr>
              <w:pStyle w:val="TableLeftText"/>
              <w:spacing w:before="32" w:after="16"/>
              <w:rPr>
                <w:b/>
              </w:rPr>
            </w:pPr>
            <w:r w:rsidRPr="00D976B8">
              <w:rPr>
                <w:b/>
              </w:rPr>
              <w:t>Bowel Prep</w:t>
            </w:r>
            <w:r>
              <w:rPr>
                <w:b/>
              </w:rPr>
              <w:t xml:space="preserve"> for MRI</w:t>
            </w:r>
          </w:p>
        </w:tc>
        <w:tc>
          <w:tcPr>
            <w:tcW w:w="11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D976B8" w:rsidRDefault="00AD7791" w:rsidP="00AD7791">
            <w:pPr>
              <w:pStyle w:val="TableLeftText"/>
              <w:spacing w:before="32" w:after="16"/>
              <w:rPr>
                <w:b/>
              </w:rPr>
            </w:pPr>
            <w:r w:rsidRPr="00D976B8">
              <w:rPr>
                <w:b/>
              </w:rPr>
              <w:t>Type</w:t>
            </w:r>
            <w:r>
              <w:rPr>
                <w:b/>
              </w:rPr>
              <w:t xml:space="preserve"> of CT</w:t>
            </w:r>
          </w:p>
        </w:tc>
        <w:tc>
          <w:tcPr>
            <w:tcW w:w="128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D976B8" w:rsidRDefault="00AD7791" w:rsidP="00AD7791">
            <w:pPr>
              <w:pStyle w:val="TableLeftText"/>
              <w:spacing w:before="32" w:after="16"/>
              <w:rPr>
                <w:b/>
              </w:rPr>
            </w:pPr>
            <w:r w:rsidRPr="00D976B8">
              <w:rPr>
                <w:b/>
              </w:rPr>
              <w:t>Contrast Agents</w:t>
            </w:r>
            <w:r>
              <w:rPr>
                <w:b/>
              </w:rPr>
              <w:t xml:space="preserve"> for CT</w:t>
            </w:r>
          </w:p>
        </w:tc>
        <w:tc>
          <w:tcPr>
            <w:tcW w:w="120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D976B8" w:rsidRDefault="00AD7791" w:rsidP="00AD7791">
            <w:pPr>
              <w:pStyle w:val="TableLeftText"/>
              <w:spacing w:before="32" w:after="16"/>
              <w:rPr>
                <w:b/>
              </w:rPr>
            </w:pPr>
            <w:r w:rsidRPr="00D976B8">
              <w:rPr>
                <w:b/>
              </w:rPr>
              <w:t>Bowel Prep</w:t>
            </w:r>
            <w:r>
              <w:rPr>
                <w:b/>
              </w:rPr>
              <w:t xml:space="preserve"> for CT</w:t>
            </w:r>
          </w:p>
        </w:tc>
        <w:tc>
          <w:tcPr>
            <w:tcW w:w="12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D976B8" w:rsidRDefault="00AD7791" w:rsidP="00AD7791">
            <w:pPr>
              <w:pStyle w:val="TableLeftText"/>
              <w:spacing w:before="32" w:after="16"/>
              <w:rPr>
                <w:b/>
              </w:rPr>
            </w:pPr>
            <w:r w:rsidRPr="00D976B8">
              <w:rPr>
                <w:b/>
              </w:rPr>
              <w:t>Type</w:t>
            </w:r>
            <w:r>
              <w:rPr>
                <w:b/>
              </w:rPr>
              <w:t xml:space="preserve"> of ERUS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D976B8" w:rsidRDefault="00AD7791" w:rsidP="00AD7791">
            <w:pPr>
              <w:pStyle w:val="TableLeftText"/>
              <w:spacing w:before="32" w:after="16"/>
              <w:rPr>
                <w:b/>
              </w:rPr>
            </w:pPr>
            <w:r w:rsidRPr="00D976B8">
              <w:rPr>
                <w:b/>
              </w:rPr>
              <w:t>MHz</w:t>
            </w:r>
            <w:r>
              <w:rPr>
                <w:b/>
              </w:rPr>
              <w:t>, ERUS</w:t>
            </w:r>
          </w:p>
        </w:tc>
        <w:tc>
          <w:tcPr>
            <w:tcW w:w="132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D976B8" w:rsidRDefault="00AD7791" w:rsidP="00AD7791">
            <w:pPr>
              <w:pStyle w:val="TableLeftText"/>
              <w:spacing w:before="32" w:after="16"/>
              <w:rPr>
                <w:b/>
              </w:rPr>
            </w:pPr>
            <w:r w:rsidRPr="00D976B8">
              <w:rPr>
                <w:b/>
              </w:rPr>
              <w:t>Bowel Prep</w:t>
            </w:r>
            <w:r>
              <w:rPr>
                <w:b/>
              </w:rPr>
              <w:t xml:space="preserve"> for ERUS</w:t>
            </w:r>
          </w:p>
        </w:tc>
      </w:tr>
      <w:tr w:rsidR="00AD7791" w:rsidRPr="00D976B8" w:rsidTr="00AD7791">
        <w:trPr>
          <w:trHeight w:val="300"/>
          <w:jc w:val="center"/>
        </w:trPr>
        <w:tc>
          <w:tcPr>
            <w:tcW w:w="1530" w:type="dxa"/>
            <w:tcBorders>
              <w:top w:val="double" w:sz="4" w:space="0" w:color="auto"/>
            </w:tcBorders>
            <w:shd w:val="clear" w:color="auto" w:fill="auto"/>
            <w:noWrap/>
          </w:tcPr>
          <w:p w:rsidR="00AD7791" w:rsidRPr="00D976B8" w:rsidRDefault="00AD7791" w:rsidP="00AD7791">
            <w:pPr>
              <w:pStyle w:val="TableText"/>
              <w:spacing w:before="32" w:after="16"/>
              <w:rPr>
                <w:color w:val="000000"/>
              </w:rPr>
            </w:pPr>
            <w:r w:rsidRPr="00D976B8">
              <w:t>Martellucci et al. 2012</w:t>
            </w:r>
            <w:r w:rsidRPr="00215F35">
              <w:rPr>
                <w:vertAlign w:val="superscript"/>
              </w:rPr>
              <w:t>199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AD7791" w:rsidRPr="00D976B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D976B8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287" w:type="dxa"/>
            <w:tcBorders>
              <w:top w:val="double" w:sz="4" w:space="0" w:color="auto"/>
            </w:tcBorders>
          </w:tcPr>
          <w:p w:rsidR="00AD7791" w:rsidRPr="00D976B8" w:rsidRDefault="00AD7791" w:rsidP="00AD7791">
            <w:pPr>
              <w:pStyle w:val="TableLeftText"/>
              <w:spacing w:before="32" w:after="16"/>
            </w:pPr>
            <w:r w:rsidRPr="00D976B8">
              <w:t>Not reported</w:t>
            </w:r>
          </w:p>
        </w:tc>
        <w:tc>
          <w:tcPr>
            <w:tcW w:w="1202" w:type="dxa"/>
            <w:tcBorders>
              <w:top w:val="double" w:sz="4" w:space="0" w:color="auto"/>
            </w:tcBorders>
          </w:tcPr>
          <w:p w:rsidR="00AD7791" w:rsidRPr="00D976B8" w:rsidRDefault="00AD7791" w:rsidP="00AD7791">
            <w:pPr>
              <w:pStyle w:val="TableLeftText"/>
              <w:spacing w:before="32" w:after="16"/>
            </w:pPr>
            <w:r w:rsidRPr="00D976B8">
              <w:t>Not reported</w:t>
            </w:r>
          </w:p>
        </w:tc>
        <w:tc>
          <w:tcPr>
            <w:tcW w:w="1160" w:type="dxa"/>
            <w:tcBorders>
              <w:top w:val="double" w:sz="4" w:space="0" w:color="auto"/>
            </w:tcBorders>
          </w:tcPr>
          <w:p w:rsidR="00AD7791" w:rsidRPr="00D976B8" w:rsidRDefault="00AD7791" w:rsidP="00AD7791">
            <w:pPr>
              <w:pStyle w:val="TableLeftText"/>
              <w:spacing w:before="32" w:after="16"/>
            </w:pPr>
            <w:r w:rsidRPr="00D976B8">
              <w:t>Not reported</w:t>
            </w:r>
          </w:p>
        </w:tc>
        <w:tc>
          <w:tcPr>
            <w:tcW w:w="1289" w:type="dxa"/>
            <w:tcBorders>
              <w:top w:val="double" w:sz="4" w:space="0" w:color="auto"/>
            </w:tcBorders>
          </w:tcPr>
          <w:p w:rsidR="00AD7791" w:rsidRPr="00D976B8" w:rsidRDefault="00AD7791" w:rsidP="00AD7791">
            <w:pPr>
              <w:pStyle w:val="TableLeftText"/>
              <w:spacing w:before="32" w:after="16"/>
            </w:pPr>
            <w:r w:rsidRPr="00D976B8">
              <w:t>Not reported</w:t>
            </w:r>
          </w:p>
        </w:tc>
        <w:tc>
          <w:tcPr>
            <w:tcW w:w="1202" w:type="dxa"/>
            <w:tcBorders>
              <w:top w:val="double" w:sz="4" w:space="0" w:color="auto"/>
            </w:tcBorders>
          </w:tcPr>
          <w:p w:rsidR="00AD7791" w:rsidRPr="00D976B8" w:rsidRDefault="00AD7791" w:rsidP="00AD7791">
            <w:pPr>
              <w:pStyle w:val="TableLeftText"/>
              <w:spacing w:before="32" w:after="16"/>
            </w:pPr>
            <w:r w:rsidRPr="00D976B8">
              <w:t>Not reported</w:t>
            </w:r>
          </w:p>
        </w:tc>
        <w:tc>
          <w:tcPr>
            <w:tcW w:w="1240" w:type="dxa"/>
            <w:tcBorders>
              <w:top w:val="double" w:sz="4" w:space="0" w:color="auto"/>
            </w:tcBorders>
          </w:tcPr>
          <w:p w:rsidR="00AD7791" w:rsidRPr="00D976B8" w:rsidRDefault="00AD7791" w:rsidP="00AD7791">
            <w:pPr>
              <w:pStyle w:val="TableLeftText"/>
              <w:spacing w:before="32" w:after="16"/>
            </w:pPr>
            <w:r w:rsidRPr="00D976B8">
              <w:t>Not reported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AD7791" w:rsidRPr="00D976B8" w:rsidRDefault="00AD7791" w:rsidP="00AD7791">
            <w:pPr>
              <w:pStyle w:val="TableLeftText"/>
              <w:spacing w:before="32" w:after="16"/>
            </w:pPr>
            <w:r w:rsidRPr="00D976B8">
              <w:t>Not reported</w:t>
            </w:r>
          </w:p>
        </w:tc>
        <w:tc>
          <w:tcPr>
            <w:tcW w:w="1327" w:type="dxa"/>
            <w:tcBorders>
              <w:top w:val="double" w:sz="4" w:space="0" w:color="auto"/>
            </w:tcBorders>
          </w:tcPr>
          <w:p w:rsidR="00AD7791" w:rsidRPr="00D976B8" w:rsidRDefault="00AD7791" w:rsidP="00AD7791">
            <w:pPr>
              <w:pStyle w:val="TableLeftText"/>
              <w:spacing w:before="32" w:after="16"/>
            </w:pPr>
            <w:r w:rsidRPr="00D976B8">
              <w:t>Enema</w:t>
            </w:r>
          </w:p>
        </w:tc>
      </w:tr>
      <w:tr w:rsidR="00AD7791" w:rsidRPr="00D976B8" w:rsidTr="00AD7791">
        <w:trPr>
          <w:trHeight w:val="300"/>
          <w:jc w:val="center"/>
        </w:trPr>
        <w:tc>
          <w:tcPr>
            <w:tcW w:w="1530" w:type="dxa"/>
            <w:shd w:val="clear" w:color="auto" w:fill="auto"/>
            <w:noWrap/>
          </w:tcPr>
          <w:p w:rsidR="00AD7791" w:rsidRPr="00D976B8" w:rsidRDefault="00AD7791" w:rsidP="00AD7791">
            <w:pPr>
              <w:pStyle w:val="TableText"/>
              <w:spacing w:before="32" w:after="16"/>
              <w:rPr>
                <w:color w:val="000000"/>
              </w:rPr>
            </w:pPr>
            <w:r w:rsidRPr="00D976B8">
              <w:t>Pomerri et al. 2011</w:t>
            </w:r>
            <w:r w:rsidRPr="00215F35">
              <w:rPr>
                <w:vertAlign w:val="superscript"/>
              </w:rPr>
              <w:t>163</w:t>
            </w:r>
          </w:p>
        </w:tc>
        <w:tc>
          <w:tcPr>
            <w:tcW w:w="1440" w:type="dxa"/>
          </w:tcPr>
          <w:p w:rsidR="00AD7791" w:rsidRPr="00D976B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D976B8">
              <w:rPr>
                <w:rFonts w:ascii="Arial" w:hAnsi="Arial" w:cs="Arial"/>
                <w:sz w:val="18"/>
                <w:szCs w:val="18"/>
              </w:rPr>
              <w:t>Gadolinium</w:t>
            </w:r>
          </w:p>
        </w:tc>
        <w:tc>
          <w:tcPr>
            <w:tcW w:w="1287" w:type="dxa"/>
          </w:tcPr>
          <w:p w:rsidR="00AD7791" w:rsidRPr="00D976B8" w:rsidRDefault="00AD7791" w:rsidP="00AD7791">
            <w:pPr>
              <w:pStyle w:val="TableLeftText"/>
              <w:spacing w:before="32" w:after="16"/>
            </w:pPr>
            <w:r w:rsidRPr="00D976B8">
              <w:t>1.0T magnet, T1 and T2 weighted, phased-array surface coil</w:t>
            </w:r>
          </w:p>
        </w:tc>
        <w:tc>
          <w:tcPr>
            <w:tcW w:w="1202" w:type="dxa"/>
          </w:tcPr>
          <w:p w:rsidR="00AD7791" w:rsidRPr="00D976B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D976B8">
              <w:rPr>
                <w:rFonts w:ascii="Arial" w:hAnsi="Arial" w:cs="Arial"/>
                <w:sz w:val="18"/>
                <w:szCs w:val="18"/>
              </w:rPr>
              <w:t>Enema</w:t>
            </w:r>
          </w:p>
        </w:tc>
        <w:tc>
          <w:tcPr>
            <w:tcW w:w="1160" w:type="dxa"/>
          </w:tcPr>
          <w:p w:rsidR="00AD7791" w:rsidRPr="00D976B8" w:rsidRDefault="00AD7791" w:rsidP="00AD7791">
            <w:pPr>
              <w:spacing w:before="32" w:after="16"/>
              <w:rPr>
                <w:sz w:val="18"/>
                <w:szCs w:val="18"/>
              </w:rPr>
            </w:pPr>
            <w:r w:rsidRPr="00D976B8">
              <w:rPr>
                <w:rFonts w:ascii="Arial" w:eastAsia="Calibri" w:hAnsi="Arial" w:cs="Arial"/>
                <w:sz w:val="18"/>
                <w:szCs w:val="18"/>
              </w:rPr>
              <w:t>3 mm helical</w:t>
            </w:r>
          </w:p>
        </w:tc>
        <w:tc>
          <w:tcPr>
            <w:tcW w:w="1289" w:type="dxa"/>
          </w:tcPr>
          <w:p w:rsidR="00AD7791" w:rsidRPr="00D976B8" w:rsidRDefault="00AD7791" w:rsidP="00AD7791">
            <w:pPr>
              <w:spacing w:before="32" w:after="1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D976B8">
              <w:rPr>
                <w:rFonts w:ascii="Arial" w:hAnsi="Arial" w:cs="Arial"/>
                <w:color w:val="000000"/>
                <w:sz w:val="18"/>
                <w:szCs w:val="18"/>
              </w:rPr>
              <w:t>V contrast medium (Ominpaque 350)</w:t>
            </w:r>
          </w:p>
        </w:tc>
        <w:tc>
          <w:tcPr>
            <w:tcW w:w="1202" w:type="dxa"/>
          </w:tcPr>
          <w:p w:rsidR="00AD7791" w:rsidRPr="00D976B8" w:rsidRDefault="00AD7791" w:rsidP="00AD7791">
            <w:pPr>
              <w:spacing w:before="32" w:after="16"/>
              <w:rPr>
                <w:sz w:val="18"/>
                <w:szCs w:val="18"/>
              </w:rPr>
            </w:pPr>
            <w:r w:rsidRPr="00D976B8">
              <w:rPr>
                <w:rFonts w:ascii="Arial" w:eastAsia="Calibri" w:hAnsi="Arial" w:cs="Arial"/>
                <w:sz w:val="18"/>
                <w:szCs w:val="18"/>
              </w:rPr>
              <w:t>Enema</w:t>
            </w:r>
          </w:p>
        </w:tc>
        <w:tc>
          <w:tcPr>
            <w:tcW w:w="1240" w:type="dxa"/>
          </w:tcPr>
          <w:p w:rsidR="00AD7791" w:rsidRPr="00D976B8" w:rsidRDefault="00AD7791" w:rsidP="00AD7791">
            <w:pPr>
              <w:pStyle w:val="TableLeftText"/>
              <w:spacing w:before="32" w:after="16"/>
            </w:pPr>
            <w:r w:rsidRPr="00D976B8">
              <w:t>Rotating radial</w:t>
            </w:r>
          </w:p>
        </w:tc>
        <w:tc>
          <w:tcPr>
            <w:tcW w:w="1260" w:type="dxa"/>
          </w:tcPr>
          <w:p w:rsidR="00AD7791" w:rsidRPr="00D976B8" w:rsidRDefault="00AD7791" w:rsidP="00AD7791">
            <w:pPr>
              <w:pStyle w:val="TableLeftText"/>
              <w:spacing w:before="32" w:after="16"/>
            </w:pPr>
            <w:r>
              <w:t>5–</w:t>
            </w:r>
            <w:r w:rsidRPr="00D976B8">
              <w:t>10</w:t>
            </w:r>
          </w:p>
        </w:tc>
        <w:tc>
          <w:tcPr>
            <w:tcW w:w="1327" w:type="dxa"/>
          </w:tcPr>
          <w:p w:rsidR="00AD7791" w:rsidRPr="00D976B8" w:rsidRDefault="00AD7791" w:rsidP="00AD7791">
            <w:pPr>
              <w:pStyle w:val="TableLeftText"/>
              <w:spacing w:before="32" w:after="16"/>
            </w:pPr>
            <w:r w:rsidRPr="00D976B8">
              <w:t>Enema</w:t>
            </w:r>
          </w:p>
        </w:tc>
      </w:tr>
      <w:tr w:rsidR="00AD7791" w:rsidRPr="00D976B8" w:rsidTr="00AD7791">
        <w:trPr>
          <w:trHeight w:val="300"/>
          <w:jc w:val="center"/>
        </w:trPr>
        <w:tc>
          <w:tcPr>
            <w:tcW w:w="1530" w:type="dxa"/>
            <w:shd w:val="clear" w:color="auto" w:fill="auto"/>
            <w:noWrap/>
          </w:tcPr>
          <w:p w:rsidR="00AD7791" w:rsidRPr="00D976B8" w:rsidRDefault="00AD7791" w:rsidP="00AD7791">
            <w:pPr>
              <w:pStyle w:val="TableText"/>
              <w:spacing w:before="32" w:after="16"/>
              <w:rPr>
                <w:color w:val="000000"/>
              </w:rPr>
            </w:pPr>
            <w:r w:rsidRPr="00D976B8">
              <w:t>Barbaro et al. 1995</w:t>
            </w:r>
            <w:r w:rsidRPr="00215F35">
              <w:rPr>
                <w:vertAlign w:val="superscript"/>
              </w:rPr>
              <w:t>92</w:t>
            </w:r>
          </w:p>
        </w:tc>
        <w:tc>
          <w:tcPr>
            <w:tcW w:w="1440" w:type="dxa"/>
          </w:tcPr>
          <w:p w:rsidR="00AD7791" w:rsidRPr="00D976B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D976B8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287" w:type="dxa"/>
          </w:tcPr>
          <w:p w:rsidR="00AD7791" w:rsidRPr="00D976B8" w:rsidRDefault="00AD7791" w:rsidP="00AD7791">
            <w:pPr>
              <w:pStyle w:val="TableLeftText"/>
              <w:spacing w:before="32" w:after="16"/>
            </w:pPr>
            <w:r w:rsidRPr="00D976B8">
              <w:t>Not reported</w:t>
            </w:r>
          </w:p>
        </w:tc>
        <w:tc>
          <w:tcPr>
            <w:tcW w:w="1202" w:type="dxa"/>
          </w:tcPr>
          <w:p w:rsidR="00AD7791" w:rsidRPr="00D976B8" w:rsidRDefault="00AD7791" w:rsidP="00AD7791">
            <w:pPr>
              <w:pStyle w:val="TableLeftText"/>
              <w:spacing w:before="32" w:after="16"/>
            </w:pPr>
            <w:r w:rsidRPr="00D976B8">
              <w:t>Not reported</w:t>
            </w:r>
          </w:p>
        </w:tc>
        <w:tc>
          <w:tcPr>
            <w:tcW w:w="1160" w:type="dxa"/>
          </w:tcPr>
          <w:p w:rsidR="00AD7791" w:rsidRPr="00D976B8" w:rsidRDefault="00AD7791" w:rsidP="00AD7791">
            <w:pPr>
              <w:pStyle w:val="TableLeftText"/>
              <w:spacing w:before="32" w:after="16"/>
            </w:pPr>
            <w:r w:rsidRPr="00D976B8">
              <w:t>Not reported</w:t>
            </w:r>
          </w:p>
        </w:tc>
        <w:tc>
          <w:tcPr>
            <w:tcW w:w="1289" w:type="dxa"/>
          </w:tcPr>
          <w:p w:rsidR="00AD7791" w:rsidRPr="00D976B8" w:rsidRDefault="00AD7791" w:rsidP="00AD7791">
            <w:pPr>
              <w:pStyle w:val="TableLeftText"/>
              <w:spacing w:before="32" w:after="16"/>
            </w:pPr>
            <w:r w:rsidRPr="00D976B8">
              <w:t>Not reported</w:t>
            </w:r>
          </w:p>
        </w:tc>
        <w:tc>
          <w:tcPr>
            <w:tcW w:w="1202" w:type="dxa"/>
          </w:tcPr>
          <w:p w:rsidR="00AD7791" w:rsidRPr="00D976B8" w:rsidRDefault="00AD7791" w:rsidP="00AD7791">
            <w:pPr>
              <w:pStyle w:val="TableLeftText"/>
              <w:spacing w:before="32" w:after="16"/>
            </w:pPr>
            <w:r w:rsidRPr="00D976B8">
              <w:t>Not reported</w:t>
            </w:r>
          </w:p>
        </w:tc>
        <w:tc>
          <w:tcPr>
            <w:tcW w:w="1240" w:type="dxa"/>
          </w:tcPr>
          <w:p w:rsidR="00AD7791" w:rsidRPr="00D976B8" w:rsidRDefault="00AD7791" w:rsidP="00AD7791">
            <w:pPr>
              <w:pStyle w:val="TableLeftText"/>
              <w:spacing w:before="32" w:after="16"/>
            </w:pPr>
            <w:r w:rsidRPr="00D976B8">
              <w:t>Not reported</w:t>
            </w:r>
          </w:p>
        </w:tc>
        <w:tc>
          <w:tcPr>
            <w:tcW w:w="1260" w:type="dxa"/>
          </w:tcPr>
          <w:p w:rsidR="00AD7791" w:rsidRPr="00D976B8" w:rsidRDefault="00AD7791" w:rsidP="00AD7791">
            <w:pPr>
              <w:pStyle w:val="TableLeftText"/>
              <w:spacing w:before="32" w:after="16"/>
            </w:pPr>
            <w:r w:rsidRPr="00D976B8">
              <w:t>Not reported</w:t>
            </w:r>
          </w:p>
        </w:tc>
        <w:tc>
          <w:tcPr>
            <w:tcW w:w="1327" w:type="dxa"/>
          </w:tcPr>
          <w:p w:rsidR="00AD7791" w:rsidRPr="00D976B8" w:rsidRDefault="00AD7791" w:rsidP="00AD7791">
            <w:pPr>
              <w:pStyle w:val="TableLeftText"/>
              <w:spacing w:before="32" w:after="16"/>
            </w:pPr>
            <w:r w:rsidRPr="00D976B8">
              <w:t>Not reported</w:t>
            </w:r>
          </w:p>
        </w:tc>
      </w:tr>
    </w:tbl>
    <w:p w:rsidR="00AD7791" w:rsidRPr="0036426C" w:rsidRDefault="00AD7791" w:rsidP="00AD7791">
      <w:pPr>
        <w:pStyle w:val="TableNote"/>
        <w:ind w:left="180"/>
      </w:pPr>
    </w:p>
    <w:sectPr w:rsidR="00AD7791" w:rsidRPr="0036426C" w:rsidSect="00537717">
      <w:footerReference w:type="first" r:id="rId11"/>
      <w:pgSz w:w="15840" w:h="12240" w:orient="landscape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3B1" w:rsidRDefault="009E03B1">
      <w:r>
        <w:separator/>
      </w:r>
    </w:p>
  </w:endnote>
  <w:endnote w:type="continuationSeparator" w:id="1">
    <w:p w:rsidR="009E03B1" w:rsidRDefault="009E0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717" w:rsidRDefault="00537717" w:rsidP="00537717">
    <w:pPr>
      <w:pStyle w:val="PageNumber"/>
    </w:pPr>
    <w:r>
      <w:t>C-</w:t>
    </w:r>
    <w:r w:rsidR="00E96553">
      <w:t>51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3B1" w:rsidRDefault="009E03B1">
      <w:r>
        <w:separator/>
      </w:r>
    </w:p>
  </w:footnote>
  <w:footnote w:type="continuationSeparator" w:id="1">
    <w:p w:rsidR="009E03B1" w:rsidRDefault="009E0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5902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717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67707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03B1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0580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0A5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553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682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4</cp:revision>
  <cp:lastPrinted>2014-08-21T20:03:00Z</cp:lastPrinted>
  <dcterms:created xsi:type="dcterms:W3CDTF">2014-10-11T09:11:00Z</dcterms:created>
  <dcterms:modified xsi:type="dcterms:W3CDTF">2014-10-11T10:24:00Z</dcterms:modified>
</cp:coreProperties>
</file>