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2618141"/>
      <w:bookmarkStart w:id="1" w:name="_Toc363826578"/>
      <w:bookmarkStart w:id="2" w:name="_Toc365038576"/>
      <w:r w:rsidRPr="00706823">
        <w:t>Table C-</w:t>
      </w:r>
      <w:r>
        <w:rPr>
          <w:noProof/>
        </w:rPr>
        <w:t>35</w:t>
      </w:r>
      <w:bookmarkEnd w:id="0"/>
      <w:r w:rsidRPr="00706823">
        <w:t>.</w:t>
      </w:r>
      <w:r w:rsidRPr="00706823">
        <w:tab/>
        <w:t>Reported data: CT versus PET/CT for interim colorectal restaging M</w:t>
      </w:r>
      <w:bookmarkEnd w:id="1"/>
      <w:bookmarkEnd w:id="2"/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6"/>
        <w:gridCol w:w="2523"/>
        <w:gridCol w:w="3959"/>
        <w:gridCol w:w="3959"/>
      </w:tblGrid>
      <w:tr w:rsidR="00AD7791" w:rsidTr="00AD7791">
        <w:trPr>
          <w:trHeight w:val="290"/>
          <w:jc w:val="center"/>
        </w:trPr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F43BB4">
              <w:rPr>
                <w:b/>
              </w:rPr>
              <w:t>Study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N Patients</w:t>
            </w:r>
          </w:p>
          <w:p w:rsidR="00AD7791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Author’s Conclusion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D7791" w:rsidRPr="00E945E9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945E9">
              <w:rPr>
                <w:b/>
              </w:rPr>
              <w:t>Outcomes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F43BB4">
              <w:rPr>
                <w:b/>
              </w:rPr>
              <w:t>CT</w:t>
            </w:r>
          </w:p>
          <w:p w:rsidR="00AD7791" w:rsidRPr="00F43BB4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M S</w:t>
            </w:r>
            <w:r w:rsidRPr="00F43BB4">
              <w:rPr>
                <w:b/>
              </w:rPr>
              <w:t xml:space="preserve">tage </w:t>
            </w:r>
            <w:r>
              <w:rPr>
                <w:b/>
              </w:rPr>
              <w:t>Data</w:t>
            </w:r>
            <w:r>
              <w:rPr>
                <w:b/>
              </w:rPr>
              <w:br/>
            </w:r>
            <w:r w:rsidRPr="00F43BB4">
              <w:rPr>
                <w:b/>
              </w:rPr>
              <w:t xml:space="preserve">(per </w:t>
            </w:r>
            <w:r>
              <w:rPr>
                <w:b/>
              </w:rPr>
              <w:t>P</w:t>
            </w:r>
            <w:r w:rsidRPr="00F43BB4">
              <w:rPr>
                <w:b/>
              </w:rPr>
              <w:t xml:space="preserve">atient </w:t>
            </w:r>
            <w:r>
              <w:rPr>
                <w:b/>
              </w:rPr>
              <w:t>B</w:t>
            </w:r>
            <w:r w:rsidRPr="00F43BB4">
              <w:rPr>
                <w:b/>
              </w:rPr>
              <w:t>asis)</w:t>
            </w:r>
          </w:p>
        </w:tc>
        <w:tc>
          <w:tcPr>
            <w:tcW w:w="395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F43BB4">
              <w:rPr>
                <w:b/>
              </w:rPr>
              <w:t>PET/CT</w:t>
            </w:r>
          </w:p>
          <w:p w:rsidR="00AD7791" w:rsidRPr="00F43BB4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Reported M S</w:t>
            </w:r>
            <w:r w:rsidRPr="00F43BB4">
              <w:rPr>
                <w:b/>
              </w:rPr>
              <w:t xml:space="preserve">tage </w:t>
            </w:r>
            <w:r>
              <w:rPr>
                <w:b/>
              </w:rPr>
              <w:t>Data</w:t>
            </w:r>
            <w:r>
              <w:rPr>
                <w:b/>
              </w:rPr>
              <w:br/>
            </w:r>
            <w:r w:rsidRPr="00F43BB4">
              <w:rPr>
                <w:b/>
              </w:rPr>
              <w:t xml:space="preserve">(per </w:t>
            </w:r>
            <w:r>
              <w:rPr>
                <w:b/>
              </w:rPr>
              <w:t>P</w:t>
            </w:r>
            <w:r w:rsidRPr="00F43BB4">
              <w:rPr>
                <w:b/>
              </w:rPr>
              <w:t xml:space="preserve">atient </w:t>
            </w:r>
            <w:r>
              <w:rPr>
                <w:b/>
              </w:rPr>
              <w:t>B</w:t>
            </w:r>
            <w:r w:rsidRPr="00F43BB4">
              <w:rPr>
                <w:b/>
              </w:rPr>
              <w:t>asis)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2526" w:type="dxa"/>
            <w:vMerge w:val="restart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Lubezky et al. 2007</w:t>
            </w:r>
            <w:r w:rsidRPr="00215F35">
              <w:rPr>
                <w:vertAlign w:val="superscript"/>
              </w:rPr>
              <w:t>91</w:t>
            </w:r>
          </w:p>
          <w:p w:rsidR="00AD7791" w:rsidRDefault="00AD7791" w:rsidP="00AD7791">
            <w:pPr>
              <w:pStyle w:val="TableText"/>
              <w:spacing w:before="32" w:after="16"/>
            </w:pPr>
            <w:r>
              <w:t>48 patients</w:t>
            </w:r>
          </w:p>
          <w:p w:rsidR="00AD7791" w:rsidRDefault="00AD7791" w:rsidP="00AD7791">
            <w:pPr>
              <w:pStyle w:val="TableText"/>
              <w:spacing w:before="240" w:after="16"/>
            </w:pPr>
            <w:r>
              <w:t xml:space="preserve">Conclusion: </w:t>
            </w:r>
            <w:r w:rsidRPr="0060385F">
              <w:rPr>
                <w:b/>
              </w:rPr>
              <w:t>CT is better</w:t>
            </w:r>
          </w:p>
        </w:tc>
        <w:tc>
          <w:tcPr>
            <w:tcW w:w="2523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Accuracy</w:t>
            </w:r>
          </w:p>
        </w:tc>
        <w:tc>
          <w:tcPr>
            <w:tcW w:w="3959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Not reported</w:t>
            </w:r>
          </w:p>
        </w:tc>
        <w:tc>
          <w:tcPr>
            <w:tcW w:w="3959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Not reported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2526" w:type="dxa"/>
            <w:vMerge/>
          </w:tcPr>
          <w:p w:rsidR="00AD7791" w:rsidRDefault="00AD7791" w:rsidP="00AD7791">
            <w:pPr>
              <w:pStyle w:val="TableText"/>
              <w:spacing w:before="32" w:after="16"/>
            </w:pPr>
          </w:p>
        </w:tc>
        <w:tc>
          <w:tcPr>
            <w:tcW w:w="2523" w:type="dxa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Sensitivity</w:t>
            </w:r>
          </w:p>
        </w:tc>
        <w:tc>
          <w:tcPr>
            <w:tcW w:w="3959" w:type="dxa"/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65.3%</w:t>
            </w:r>
          </w:p>
        </w:tc>
        <w:tc>
          <w:tcPr>
            <w:tcW w:w="3959" w:type="dxa"/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49%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2526" w:type="dxa"/>
            <w:vMerge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</w:p>
        </w:tc>
        <w:tc>
          <w:tcPr>
            <w:tcW w:w="2523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Specificity</w:t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75%</w:t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  <w:jc w:val="center"/>
            </w:pPr>
            <w:r>
              <w:t>83.3%</w:t>
            </w:r>
          </w:p>
        </w:tc>
      </w:tr>
    </w:tbl>
    <w:p w:rsidR="00AD7791" w:rsidRDefault="00AD7791" w:rsidP="00AD7791">
      <w:pPr>
        <w:pStyle w:val="TableNote"/>
        <w:ind w:left="90"/>
      </w:pPr>
      <w:r>
        <w:t>CT=Computed tomography; M=metastases stage; PET=positron emission tomography.</w:t>
      </w:r>
    </w:p>
    <w:sectPr w:rsidR="00AD7791" w:rsidSect="002C3BDB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FA" w:rsidRDefault="003608FA">
      <w:r>
        <w:separator/>
      </w:r>
    </w:p>
  </w:endnote>
  <w:endnote w:type="continuationSeparator" w:id="1">
    <w:p w:rsidR="003608FA" w:rsidRDefault="0036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DB" w:rsidRDefault="002C3BDB" w:rsidP="002C3BDB">
    <w:pPr>
      <w:pStyle w:val="PageNumber"/>
    </w:pPr>
    <w:r>
      <w:t>C-</w:t>
    </w:r>
    <w:r w:rsidR="00BC57B2">
      <w:t>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FA" w:rsidRDefault="003608FA">
      <w:r>
        <w:separator/>
      </w:r>
    </w:p>
  </w:footnote>
  <w:footnote w:type="continuationSeparator" w:id="1">
    <w:p w:rsidR="003608FA" w:rsidRDefault="00360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0F7B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BDB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08FA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8C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57B2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5B7F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440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2014-10-11T08:55:00Z</dcterms:created>
  <dcterms:modified xsi:type="dcterms:W3CDTF">2014-10-11T10:19:00Z</dcterms:modified>
</cp:coreProperties>
</file>