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68" w:rsidRDefault="00D67368" w:rsidP="00D67368">
      <w:pPr>
        <w:pStyle w:val="AppChapterHeading"/>
      </w:pPr>
      <w:bookmarkStart w:id="0" w:name="_Toc367879965"/>
      <w:bookmarkStart w:id="1" w:name="_Toc380569702"/>
      <w:bookmarkStart w:id="2" w:name="_GoBack"/>
      <w:bookmarkEnd w:id="2"/>
      <w:r>
        <w:t>Appendix</w:t>
      </w:r>
      <w:r w:rsidRPr="00D975DD">
        <w:t xml:space="preserve"> </w:t>
      </w:r>
      <w:r>
        <w:t>D</w:t>
      </w:r>
      <w:r w:rsidRPr="00D975DD">
        <w:t xml:space="preserve">. </w:t>
      </w:r>
      <w:r w:rsidRPr="000B4E79">
        <w:t>Risk of Bias Assessments for Included Studies</w:t>
      </w:r>
    </w:p>
    <w:p w:rsidR="00D67368" w:rsidRDefault="00D67368" w:rsidP="00D67368">
      <w:pPr>
        <w:pStyle w:val="AppTableTitle"/>
      </w:pPr>
      <w:r>
        <w:t xml:space="preserve">Table D1. </w:t>
      </w:r>
      <w:r w:rsidRPr="00D975DD">
        <w:t xml:space="preserve">Risk of </w:t>
      </w:r>
      <w:r>
        <w:t>b</w:t>
      </w:r>
      <w:r w:rsidRPr="00D975DD">
        <w:t xml:space="preserve">ias </w:t>
      </w:r>
      <w:r>
        <w:t>evaluations and rationale</w:t>
      </w:r>
      <w:bookmarkEnd w:id="0"/>
      <w:bookmarkEnd w:id="1"/>
    </w:p>
    <w:tbl>
      <w:tblPr>
        <w:tblStyle w:val="EPC"/>
        <w:tblW w:w="12989" w:type="dxa"/>
        <w:tblLayout w:type="fixed"/>
        <w:tblLook w:val="04A0" w:firstRow="1" w:lastRow="0" w:firstColumn="1" w:lastColumn="0" w:noHBand="0" w:noVBand="1"/>
      </w:tblPr>
      <w:tblGrid>
        <w:gridCol w:w="1109"/>
        <w:gridCol w:w="1080"/>
        <w:gridCol w:w="900"/>
        <w:gridCol w:w="990"/>
        <w:gridCol w:w="900"/>
        <w:gridCol w:w="1260"/>
        <w:gridCol w:w="900"/>
        <w:gridCol w:w="900"/>
        <w:gridCol w:w="1091"/>
        <w:gridCol w:w="900"/>
        <w:gridCol w:w="900"/>
        <w:gridCol w:w="2059"/>
      </w:tblGrid>
      <w:tr w:rsidR="00D67368" w:rsidRPr="00D975DD" w:rsidTr="00D67368">
        <w:trPr>
          <w:cnfStyle w:val="100000000000" w:firstRow="1" w:lastRow="0" w:firstColumn="0" w:lastColumn="0" w:oddVBand="0" w:evenVBand="0" w:oddHBand="0" w:evenHBand="0" w:firstRowFirstColumn="0" w:firstRowLastColumn="0" w:lastRowFirstColumn="0" w:lastRowLastColumn="0"/>
          <w:tblHeader/>
        </w:trPr>
        <w:tc>
          <w:tcPr>
            <w:tcW w:w="1109" w:type="dxa"/>
            <w:hideMark/>
          </w:tcPr>
          <w:p w:rsidR="00D67368" w:rsidRPr="004A0072" w:rsidRDefault="00D67368" w:rsidP="00D67368">
            <w:pPr>
              <w:rPr>
                <w:rFonts w:ascii="Arial" w:hAnsi="Arial" w:cs="Arial"/>
                <w:b/>
                <w:bCs/>
                <w:color w:val="000000"/>
                <w:sz w:val="18"/>
                <w:szCs w:val="18"/>
              </w:rPr>
            </w:pPr>
            <w:r w:rsidRPr="004A0072">
              <w:rPr>
                <w:rFonts w:ascii="Arial" w:hAnsi="Arial" w:cs="Arial"/>
                <w:b/>
                <w:bCs/>
                <w:color w:val="000000"/>
                <w:sz w:val="18"/>
                <w:szCs w:val="18"/>
              </w:rPr>
              <w:t>Author, Year</w:t>
            </w:r>
          </w:p>
          <w:p w:rsidR="00D67368" w:rsidRPr="004A0072" w:rsidRDefault="00D67368" w:rsidP="00D67368">
            <w:pPr>
              <w:rPr>
                <w:rFonts w:ascii="Arial" w:hAnsi="Arial" w:cs="Arial"/>
                <w:b/>
                <w:bCs/>
                <w:color w:val="000000"/>
                <w:sz w:val="18"/>
                <w:szCs w:val="18"/>
              </w:rPr>
            </w:pPr>
            <w:r w:rsidRPr="004A0072">
              <w:rPr>
                <w:rFonts w:ascii="Arial" w:hAnsi="Arial" w:cs="Arial"/>
                <w:b/>
                <w:bCs/>
                <w:color w:val="000000"/>
                <w:sz w:val="18"/>
                <w:szCs w:val="18"/>
              </w:rPr>
              <w:t xml:space="preserve">Trial </w:t>
            </w:r>
            <w:proofErr w:type="spellStart"/>
            <w:r w:rsidRPr="004A0072">
              <w:rPr>
                <w:rFonts w:ascii="Arial" w:hAnsi="Arial" w:cs="Arial"/>
                <w:b/>
                <w:bCs/>
                <w:color w:val="000000"/>
                <w:sz w:val="18"/>
                <w:szCs w:val="18"/>
              </w:rPr>
              <w:t>Name</w:t>
            </w:r>
            <w:r w:rsidRPr="004A0072">
              <w:rPr>
                <w:rFonts w:ascii="Arial" w:hAnsi="Arial" w:cs="Arial"/>
                <w:b/>
                <w:bCs/>
                <w:color w:val="000000"/>
                <w:sz w:val="18"/>
                <w:szCs w:val="18"/>
                <w:vertAlign w:val="superscript"/>
              </w:rPr>
              <w:t>a</w:t>
            </w:r>
            <w:proofErr w:type="spellEnd"/>
            <w:r w:rsidRPr="004A0072">
              <w:rPr>
                <w:rFonts w:ascii="Arial" w:hAnsi="Arial" w:cs="Arial"/>
                <w:b/>
                <w:bCs/>
                <w:color w:val="000000"/>
                <w:sz w:val="18"/>
                <w:szCs w:val="18"/>
              </w:rPr>
              <w:t xml:space="preserve"> </w:t>
            </w:r>
          </w:p>
        </w:tc>
        <w:tc>
          <w:tcPr>
            <w:tcW w:w="1080" w:type="dxa"/>
            <w:hideMark/>
          </w:tcPr>
          <w:p w:rsidR="00D67368" w:rsidRPr="004A0072" w:rsidRDefault="00D67368" w:rsidP="00D67368">
            <w:pPr>
              <w:rPr>
                <w:rFonts w:ascii="Arial" w:hAnsi="Arial" w:cs="Arial"/>
                <w:b/>
                <w:color w:val="000000"/>
                <w:sz w:val="18"/>
                <w:szCs w:val="18"/>
              </w:rPr>
            </w:pPr>
            <w:proofErr w:type="spellStart"/>
            <w:r w:rsidRPr="004A0072">
              <w:rPr>
                <w:rFonts w:ascii="Arial" w:hAnsi="Arial" w:cs="Arial"/>
                <w:b/>
                <w:color w:val="000000"/>
                <w:sz w:val="18"/>
                <w:szCs w:val="18"/>
              </w:rPr>
              <w:t>Randomi-zation</w:t>
            </w:r>
            <w:proofErr w:type="spellEnd"/>
            <w:r w:rsidRPr="004A0072">
              <w:rPr>
                <w:rFonts w:ascii="Arial" w:hAnsi="Arial" w:cs="Arial"/>
                <w:b/>
                <w:color w:val="000000"/>
                <w:sz w:val="18"/>
                <w:szCs w:val="18"/>
              </w:rPr>
              <w:t xml:space="preserve"> Method Adequate? </w:t>
            </w:r>
          </w:p>
        </w:tc>
        <w:tc>
          <w:tcPr>
            <w:tcW w:w="900" w:type="dxa"/>
            <w:hideMark/>
          </w:tcPr>
          <w:p w:rsidR="00D67368" w:rsidRPr="004A0072" w:rsidRDefault="00D67368" w:rsidP="00D67368">
            <w:pPr>
              <w:rPr>
                <w:rFonts w:ascii="Arial" w:hAnsi="Arial" w:cs="Arial"/>
                <w:b/>
                <w:color w:val="000000"/>
                <w:sz w:val="18"/>
                <w:szCs w:val="18"/>
              </w:rPr>
            </w:pPr>
            <w:proofErr w:type="spellStart"/>
            <w:r w:rsidRPr="004A0072">
              <w:rPr>
                <w:rFonts w:ascii="Arial" w:hAnsi="Arial" w:cs="Arial"/>
                <w:b/>
                <w:color w:val="000000"/>
                <w:sz w:val="18"/>
                <w:szCs w:val="18"/>
              </w:rPr>
              <w:t>Allo-cation</w:t>
            </w:r>
            <w:proofErr w:type="spellEnd"/>
            <w:r w:rsidRPr="004A0072">
              <w:rPr>
                <w:rFonts w:ascii="Arial" w:hAnsi="Arial" w:cs="Arial"/>
                <w:b/>
                <w:color w:val="000000"/>
                <w:sz w:val="18"/>
                <w:szCs w:val="18"/>
              </w:rPr>
              <w:t xml:space="preserve"> Conceal-</w:t>
            </w:r>
            <w:proofErr w:type="spellStart"/>
            <w:r w:rsidRPr="004A0072">
              <w:rPr>
                <w:rFonts w:ascii="Arial" w:hAnsi="Arial" w:cs="Arial"/>
                <w:b/>
                <w:color w:val="000000"/>
                <w:sz w:val="18"/>
                <w:szCs w:val="18"/>
              </w:rPr>
              <w:t>ment</w:t>
            </w:r>
            <w:proofErr w:type="spellEnd"/>
            <w:r w:rsidRPr="004A0072">
              <w:rPr>
                <w:rFonts w:ascii="Arial" w:hAnsi="Arial" w:cs="Arial"/>
                <w:b/>
                <w:color w:val="000000"/>
                <w:sz w:val="18"/>
                <w:szCs w:val="18"/>
              </w:rPr>
              <w:t xml:space="preserve"> Ad-equate?</w:t>
            </w:r>
          </w:p>
        </w:tc>
        <w:tc>
          <w:tcPr>
            <w:tcW w:w="990" w:type="dxa"/>
          </w:tcPr>
          <w:p w:rsidR="00D67368" w:rsidRPr="004A0072" w:rsidRDefault="00D67368" w:rsidP="00D67368">
            <w:pPr>
              <w:rPr>
                <w:rFonts w:ascii="Arial" w:hAnsi="Arial" w:cs="Arial"/>
                <w:b/>
                <w:color w:val="000000"/>
                <w:sz w:val="18"/>
                <w:szCs w:val="18"/>
              </w:rPr>
            </w:pPr>
            <w:proofErr w:type="gramStart"/>
            <w:r w:rsidRPr="004A0072">
              <w:rPr>
                <w:rFonts w:ascii="Arial" w:hAnsi="Arial" w:cs="Arial"/>
                <w:b/>
                <w:color w:val="000000"/>
                <w:sz w:val="18"/>
                <w:szCs w:val="18"/>
              </w:rPr>
              <w:t>Are</w:t>
            </w:r>
            <w:proofErr w:type="gramEnd"/>
            <w:r w:rsidRPr="004A0072">
              <w:rPr>
                <w:rFonts w:ascii="Arial" w:hAnsi="Arial" w:cs="Arial"/>
                <w:b/>
                <w:color w:val="000000"/>
                <w:sz w:val="18"/>
                <w:szCs w:val="18"/>
              </w:rPr>
              <w:t xml:space="preserve"> Groups Similar at Base-line? </w:t>
            </w:r>
          </w:p>
        </w:tc>
        <w:tc>
          <w:tcPr>
            <w:tcW w:w="900" w:type="dxa"/>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 xml:space="preserve">Outcome </w:t>
            </w:r>
            <w:proofErr w:type="spellStart"/>
            <w:r w:rsidRPr="004A0072">
              <w:rPr>
                <w:rFonts w:ascii="Arial" w:hAnsi="Arial" w:cs="Arial"/>
                <w:b/>
                <w:color w:val="000000"/>
                <w:sz w:val="18"/>
                <w:szCs w:val="18"/>
              </w:rPr>
              <w:t>Asse-ssors</w:t>
            </w:r>
            <w:proofErr w:type="spellEnd"/>
            <w:r w:rsidRPr="004A0072">
              <w:rPr>
                <w:rFonts w:ascii="Arial" w:hAnsi="Arial" w:cs="Arial"/>
                <w:b/>
                <w:color w:val="000000"/>
                <w:sz w:val="18"/>
                <w:szCs w:val="18"/>
              </w:rPr>
              <w:t xml:space="preserve"> Blinded?</w:t>
            </w:r>
          </w:p>
        </w:tc>
        <w:tc>
          <w:tcPr>
            <w:tcW w:w="1260" w:type="dxa"/>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Overall Attrition</w:t>
            </w:r>
          </w:p>
          <w:p w:rsidR="00D67368" w:rsidRPr="004A0072" w:rsidRDefault="00D67368" w:rsidP="00D67368">
            <w:pPr>
              <w:rPr>
                <w:rFonts w:ascii="Arial" w:hAnsi="Arial" w:cs="Arial"/>
                <w:b/>
                <w:color w:val="000000"/>
                <w:sz w:val="18"/>
                <w:szCs w:val="18"/>
              </w:rPr>
            </w:pPr>
          </w:p>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Differential Attrition</w:t>
            </w:r>
          </w:p>
        </w:tc>
        <w:tc>
          <w:tcPr>
            <w:tcW w:w="900" w:type="dxa"/>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Does High Attrition Rate Raise Concern for Bias?</w:t>
            </w:r>
          </w:p>
        </w:tc>
        <w:tc>
          <w:tcPr>
            <w:tcW w:w="900" w:type="dxa"/>
            <w:hideMark/>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Inter-</w:t>
            </w:r>
            <w:proofErr w:type="spellStart"/>
            <w:r w:rsidRPr="004A0072">
              <w:rPr>
                <w:rFonts w:ascii="Arial" w:hAnsi="Arial" w:cs="Arial"/>
                <w:b/>
                <w:color w:val="000000"/>
                <w:sz w:val="18"/>
                <w:szCs w:val="18"/>
              </w:rPr>
              <w:t>vention</w:t>
            </w:r>
            <w:proofErr w:type="spellEnd"/>
            <w:r w:rsidRPr="004A0072">
              <w:rPr>
                <w:rFonts w:ascii="Arial" w:hAnsi="Arial" w:cs="Arial"/>
                <w:b/>
                <w:color w:val="000000"/>
                <w:sz w:val="18"/>
                <w:szCs w:val="18"/>
              </w:rPr>
              <w:t xml:space="preserve"> Fidelity Ad-equate?</w:t>
            </w:r>
          </w:p>
        </w:tc>
        <w:tc>
          <w:tcPr>
            <w:tcW w:w="1091" w:type="dxa"/>
            <w:hideMark/>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ITT Ana-</w:t>
            </w:r>
            <w:proofErr w:type="spellStart"/>
            <w:r w:rsidRPr="004A0072">
              <w:rPr>
                <w:rFonts w:ascii="Arial" w:hAnsi="Arial" w:cs="Arial"/>
                <w:b/>
                <w:color w:val="000000"/>
                <w:sz w:val="18"/>
                <w:szCs w:val="18"/>
              </w:rPr>
              <w:t>lysis</w:t>
            </w:r>
            <w:proofErr w:type="spellEnd"/>
            <w:r w:rsidRPr="004A0072">
              <w:rPr>
                <w:rFonts w:ascii="Arial" w:hAnsi="Arial" w:cs="Arial"/>
                <w:b/>
                <w:color w:val="000000"/>
                <w:sz w:val="18"/>
                <w:szCs w:val="18"/>
              </w:rPr>
              <w:t>?</w:t>
            </w:r>
          </w:p>
          <w:p w:rsidR="00D67368" w:rsidRPr="004A0072" w:rsidRDefault="00D67368" w:rsidP="00D67368">
            <w:pPr>
              <w:rPr>
                <w:rFonts w:ascii="Arial" w:hAnsi="Arial" w:cs="Arial"/>
                <w:b/>
                <w:color w:val="000000"/>
                <w:sz w:val="18"/>
                <w:szCs w:val="18"/>
              </w:rPr>
            </w:pPr>
          </w:p>
          <w:p w:rsidR="00D67368" w:rsidRPr="004A0072" w:rsidRDefault="00D67368" w:rsidP="00D67368">
            <w:pPr>
              <w:rPr>
                <w:rFonts w:ascii="Arial" w:hAnsi="Arial" w:cs="Arial"/>
                <w:b/>
                <w:color w:val="000000"/>
                <w:sz w:val="18"/>
                <w:szCs w:val="18"/>
              </w:rPr>
            </w:pPr>
            <w:proofErr w:type="spellStart"/>
            <w:r w:rsidRPr="004A0072">
              <w:rPr>
                <w:rFonts w:ascii="Arial" w:hAnsi="Arial" w:cs="Arial"/>
                <w:b/>
                <w:color w:val="000000"/>
                <w:sz w:val="18"/>
                <w:szCs w:val="18"/>
              </w:rPr>
              <w:t>Appro-priate</w:t>
            </w:r>
            <w:proofErr w:type="spellEnd"/>
            <w:r w:rsidRPr="004A0072">
              <w:rPr>
                <w:rFonts w:ascii="Arial" w:hAnsi="Arial" w:cs="Arial"/>
                <w:b/>
                <w:color w:val="000000"/>
                <w:sz w:val="18"/>
                <w:szCs w:val="18"/>
              </w:rPr>
              <w:t xml:space="preserve"> Method for Handling Missing Data?</w:t>
            </w:r>
          </w:p>
        </w:tc>
        <w:tc>
          <w:tcPr>
            <w:tcW w:w="900" w:type="dxa"/>
          </w:tcPr>
          <w:p w:rsidR="00D67368" w:rsidRPr="004A0072" w:rsidRDefault="00D67368" w:rsidP="00D67368">
            <w:pPr>
              <w:rPr>
                <w:rFonts w:ascii="Arial" w:hAnsi="Arial" w:cs="Arial"/>
                <w:b/>
                <w:color w:val="000000"/>
                <w:sz w:val="18"/>
                <w:szCs w:val="18"/>
              </w:rPr>
            </w:pPr>
            <w:proofErr w:type="spellStart"/>
            <w:r w:rsidRPr="004A0072">
              <w:rPr>
                <w:rFonts w:ascii="Arial" w:hAnsi="Arial" w:cs="Arial"/>
                <w:b/>
                <w:color w:val="000000"/>
                <w:sz w:val="18"/>
                <w:szCs w:val="18"/>
              </w:rPr>
              <w:t>Utiliz-ation</w:t>
            </w:r>
            <w:proofErr w:type="spellEnd"/>
            <w:r w:rsidRPr="004A0072">
              <w:rPr>
                <w:rFonts w:ascii="Arial" w:hAnsi="Arial" w:cs="Arial"/>
                <w:b/>
                <w:color w:val="000000"/>
                <w:sz w:val="18"/>
                <w:szCs w:val="18"/>
              </w:rPr>
              <w:t xml:space="preserve"> Out-comes: Valid, Reliable, Con-</w:t>
            </w:r>
            <w:proofErr w:type="spellStart"/>
            <w:r w:rsidRPr="004A0072">
              <w:rPr>
                <w:rFonts w:ascii="Arial" w:hAnsi="Arial" w:cs="Arial"/>
                <w:b/>
                <w:color w:val="000000"/>
                <w:sz w:val="18"/>
                <w:szCs w:val="18"/>
              </w:rPr>
              <w:t>sistent</w:t>
            </w:r>
            <w:proofErr w:type="spellEnd"/>
            <w:r w:rsidRPr="004A0072">
              <w:rPr>
                <w:rFonts w:ascii="Arial" w:hAnsi="Arial" w:cs="Arial"/>
                <w:b/>
                <w:color w:val="000000"/>
                <w:sz w:val="18"/>
                <w:szCs w:val="18"/>
              </w:rPr>
              <w:t>?</w:t>
            </w:r>
          </w:p>
        </w:tc>
        <w:tc>
          <w:tcPr>
            <w:tcW w:w="900" w:type="dxa"/>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Health and Social Out-comes: Valid, Reliable, Cons-</w:t>
            </w:r>
            <w:proofErr w:type="spellStart"/>
            <w:r w:rsidRPr="004A0072">
              <w:rPr>
                <w:rFonts w:ascii="Arial" w:hAnsi="Arial" w:cs="Arial"/>
                <w:b/>
                <w:color w:val="000000"/>
                <w:sz w:val="18"/>
                <w:szCs w:val="18"/>
              </w:rPr>
              <w:t>istent</w:t>
            </w:r>
            <w:proofErr w:type="spellEnd"/>
            <w:r w:rsidRPr="004A0072">
              <w:rPr>
                <w:rFonts w:ascii="Arial" w:hAnsi="Arial" w:cs="Arial"/>
                <w:b/>
                <w:color w:val="000000"/>
                <w:sz w:val="18"/>
                <w:szCs w:val="18"/>
              </w:rPr>
              <w:t>?</w:t>
            </w:r>
          </w:p>
        </w:tc>
        <w:tc>
          <w:tcPr>
            <w:tcW w:w="2059" w:type="dxa"/>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Risk of Bias</w:t>
            </w:r>
          </w:p>
          <w:p w:rsidR="00D67368" w:rsidRPr="004A0072" w:rsidRDefault="00D67368" w:rsidP="00D67368">
            <w:pPr>
              <w:rPr>
                <w:rFonts w:ascii="Arial" w:hAnsi="Arial" w:cs="Arial"/>
                <w:b/>
                <w:color w:val="000000"/>
                <w:sz w:val="18"/>
                <w:szCs w:val="18"/>
              </w:rPr>
            </w:pPr>
          </w:p>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Rationale for Any High or Unclear Risk of Bias Ratings</w:t>
            </w:r>
          </w:p>
        </w:tc>
      </w:tr>
      <w:tr w:rsidR="00D67368" w:rsidRPr="00D975DD" w:rsidTr="00D67368">
        <w:trPr>
          <w:cantSplit/>
        </w:trPr>
        <w:tc>
          <w:tcPr>
            <w:tcW w:w="1109" w:type="dxa"/>
          </w:tcPr>
          <w:p w:rsidR="00D67368" w:rsidRPr="00BF76BE" w:rsidRDefault="00D67368" w:rsidP="00D67368">
            <w:pPr>
              <w:pStyle w:val="TableText"/>
            </w:pPr>
            <w:r w:rsidRPr="00BF76BE">
              <w:t>Albert</w:t>
            </w:r>
            <w:r>
              <w:t xml:space="preserve"> et al.</w:t>
            </w:r>
            <w:r w:rsidRPr="00BF76BE">
              <w:t>, 2007</w:t>
            </w:r>
            <w:r w:rsidRPr="00BF76BE">
              <w:rPr>
                <w:rFonts w:ascii="Times New Roman" w:hAnsi="Times New Roman" w:cs="Times New Roman"/>
                <w:noProof/>
                <w:vertAlign w:val="superscript"/>
              </w:rPr>
              <w:t>1</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19% lost to follow-up; 29% died or were lost to follow-up</w:t>
            </w:r>
          </w:p>
          <w:p w:rsidR="00D67368" w:rsidRPr="00BF76BE" w:rsidRDefault="00D67368" w:rsidP="00D67368">
            <w:pPr>
              <w:pStyle w:val="TableText"/>
            </w:pPr>
          </w:p>
          <w:p w:rsidR="00D67368" w:rsidRPr="00BF76BE" w:rsidRDefault="00D67368" w:rsidP="00D67368">
            <w:pPr>
              <w:pStyle w:val="TableText"/>
            </w:pPr>
            <w:r w:rsidRPr="00BF76BE">
              <w:t>1.1% loss to follow-up; 6% differential attrition when counting those who either died or were lost to follow-up</w:t>
            </w:r>
          </w:p>
        </w:tc>
        <w:tc>
          <w:tcPr>
            <w:tcW w:w="900" w:type="dxa"/>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NR/CND</w:t>
            </w:r>
          </w:p>
        </w:tc>
        <w:tc>
          <w:tcPr>
            <w:tcW w:w="2059" w:type="dxa"/>
          </w:tcPr>
          <w:p w:rsidR="00D67368" w:rsidRPr="00BF76BE" w:rsidRDefault="00D67368" w:rsidP="00D67368">
            <w:pPr>
              <w:pStyle w:val="TableText"/>
            </w:pPr>
            <w:r w:rsidRPr="00BF76BE">
              <w:t>High</w:t>
            </w:r>
          </w:p>
          <w:p w:rsidR="00D67368" w:rsidRPr="00BF76BE" w:rsidRDefault="00D67368" w:rsidP="00D67368">
            <w:pPr>
              <w:pStyle w:val="TableText"/>
            </w:pPr>
          </w:p>
          <w:p w:rsidR="00D67368" w:rsidRPr="00BF76BE" w:rsidRDefault="00D67368" w:rsidP="00D67368">
            <w:pPr>
              <w:pStyle w:val="TableText"/>
            </w:pPr>
            <w:r w:rsidRPr="00BF76BE">
              <w:t xml:space="preserve">Baseline characteristics not similar (more women in the usual care group, more smokers in the intervention group). Inadequate method of handling missing data (completer’s analysis). </w:t>
            </w:r>
            <w:r>
              <w:t>The authors did not describe how mortality and health utilization measures were ascertained.</w:t>
            </w:r>
            <w:r w:rsidRPr="00BF76BE">
              <w:t xml:space="preserve"> </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Al</w:t>
            </w:r>
            <w:r>
              <w:t>damiz-Echevarría</w:t>
            </w:r>
            <w:proofErr w:type="spellEnd"/>
            <w:r>
              <w:t xml:space="preserve"> </w:t>
            </w:r>
            <w:proofErr w:type="spellStart"/>
            <w:r>
              <w:t>Iraúrgui</w:t>
            </w:r>
            <w:proofErr w:type="spellEnd"/>
            <w:r>
              <w:t xml:space="preserve"> et al,, 2007</w:t>
            </w:r>
            <w:r w:rsidRPr="00BF76BE">
              <w:rPr>
                <w:rFonts w:ascii="Times New Roman" w:hAnsi="Times New Roman" w:cs="Times New Roman"/>
                <w:noProof/>
                <w:vertAlign w:val="superscript"/>
              </w:rPr>
              <w:t>2</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tc>
      </w:tr>
    </w:tbl>
    <w:p w:rsidR="00D67368" w:rsidRDefault="00D67368"/>
    <w:p w:rsidR="00D67368" w:rsidRDefault="00D67368">
      <w:r>
        <w:br w:type="page"/>
      </w:r>
    </w:p>
    <w:tbl>
      <w:tblPr>
        <w:tblStyle w:val="EPC"/>
        <w:tblW w:w="12989" w:type="dxa"/>
        <w:tblLayout w:type="fixed"/>
        <w:tblLook w:val="04A0" w:firstRow="1" w:lastRow="0" w:firstColumn="1" w:lastColumn="0" w:noHBand="0" w:noVBand="1"/>
      </w:tblPr>
      <w:tblGrid>
        <w:gridCol w:w="1109"/>
        <w:gridCol w:w="1080"/>
        <w:gridCol w:w="900"/>
        <w:gridCol w:w="990"/>
        <w:gridCol w:w="900"/>
        <w:gridCol w:w="1260"/>
        <w:gridCol w:w="900"/>
        <w:gridCol w:w="900"/>
        <w:gridCol w:w="1091"/>
        <w:gridCol w:w="900"/>
        <w:gridCol w:w="900"/>
        <w:gridCol w:w="2059"/>
      </w:tblGrid>
      <w:tr w:rsidR="00D67368" w:rsidRPr="00D975DD" w:rsidTr="00D67368">
        <w:trPr>
          <w:cnfStyle w:val="100000000000" w:firstRow="1" w:lastRow="0" w:firstColumn="0" w:lastColumn="0" w:oddVBand="0" w:evenVBand="0" w:oddHBand="0" w:evenHBand="0" w:firstRowFirstColumn="0" w:firstRowLastColumn="0" w:lastRowFirstColumn="0" w:lastRowLastColumn="0"/>
          <w:tblHeader/>
        </w:trPr>
        <w:tc>
          <w:tcPr>
            <w:tcW w:w="12989" w:type="dxa"/>
            <w:gridSpan w:val="12"/>
            <w:tcBorders>
              <w:top w:val="single" w:sz="4" w:space="0" w:color="auto"/>
              <w:bottom w:val="single" w:sz="4" w:space="0" w:color="auto"/>
            </w:tcBorders>
          </w:tcPr>
          <w:p w:rsidR="00D67368" w:rsidRPr="00D975DD" w:rsidRDefault="00D67368" w:rsidP="00D67368">
            <w:pPr>
              <w:pStyle w:val="AppTableTitle"/>
              <w:rPr>
                <w:rFonts w:cs="Arial"/>
                <w:szCs w:val="18"/>
              </w:rPr>
            </w:pPr>
            <w:r>
              <w:lastRenderedPageBreak/>
              <w:t xml:space="preserve">Table D1. </w:t>
            </w:r>
            <w:r w:rsidRPr="00D975DD">
              <w:t xml:space="preserve">Risk of </w:t>
            </w:r>
            <w:r>
              <w:t>b</w:t>
            </w:r>
            <w:r w:rsidRPr="00D975DD">
              <w:t xml:space="preserve">ias </w:t>
            </w:r>
            <w:r>
              <w:t>evaluations and rationale (continued)</w:t>
            </w:r>
          </w:p>
        </w:tc>
      </w:tr>
      <w:tr w:rsidR="00D67368" w:rsidRPr="00D975DD" w:rsidTr="00D67368">
        <w:trPr>
          <w:cnfStyle w:val="100000000000" w:firstRow="1" w:lastRow="0" w:firstColumn="0" w:lastColumn="0" w:oddVBand="0" w:evenVBand="0" w:oddHBand="0" w:evenHBand="0" w:firstRowFirstColumn="0" w:firstRowLastColumn="0" w:lastRowFirstColumn="0" w:lastRowLastColumn="0"/>
          <w:tblHeader/>
        </w:trPr>
        <w:tc>
          <w:tcPr>
            <w:tcW w:w="1109" w:type="dxa"/>
            <w:tcBorders>
              <w:top w:val="single" w:sz="4" w:space="0" w:color="auto"/>
            </w:tcBorders>
            <w:hideMark/>
          </w:tcPr>
          <w:p w:rsidR="00D67368" w:rsidRPr="004A0072" w:rsidRDefault="00D67368" w:rsidP="00D67368">
            <w:pPr>
              <w:rPr>
                <w:rFonts w:ascii="Arial" w:hAnsi="Arial" w:cs="Arial"/>
                <w:b/>
                <w:bCs/>
                <w:color w:val="000000"/>
                <w:sz w:val="18"/>
                <w:szCs w:val="18"/>
              </w:rPr>
            </w:pPr>
            <w:r w:rsidRPr="004A0072">
              <w:rPr>
                <w:rFonts w:ascii="Arial" w:hAnsi="Arial" w:cs="Arial"/>
                <w:b/>
                <w:bCs/>
                <w:color w:val="000000"/>
                <w:sz w:val="18"/>
                <w:szCs w:val="18"/>
              </w:rPr>
              <w:t>Author, Year</w:t>
            </w:r>
          </w:p>
          <w:p w:rsidR="00D67368" w:rsidRPr="004A0072" w:rsidRDefault="00D67368" w:rsidP="00D67368">
            <w:pPr>
              <w:rPr>
                <w:rFonts w:ascii="Arial" w:hAnsi="Arial" w:cs="Arial"/>
                <w:b/>
                <w:bCs/>
                <w:color w:val="000000"/>
                <w:sz w:val="18"/>
                <w:szCs w:val="18"/>
              </w:rPr>
            </w:pPr>
            <w:r w:rsidRPr="004A0072">
              <w:rPr>
                <w:rFonts w:ascii="Arial" w:hAnsi="Arial" w:cs="Arial"/>
                <w:b/>
                <w:bCs/>
                <w:color w:val="000000"/>
                <w:sz w:val="18"/>
                <w:szCs w:val="18"/>
              </w:rPr>
              <w:t xml:space="preserve">Trial </w:t>
            </w:r>
            <w:proofErr w:type="spellStart"/>
            <w:r w:rsidRPr="004A0072">
              <w:rPr>
                <w:rFonts w:ascii="Arial" w:hAnsi="Arial" w:cs="Arial"/>
                <w:b/>
                <w:bCs/>
                <w:color w:val="000000"/>
                <w:sz w:val="18"/>
                <w:szCs w:val="18"/>
              </w:rPr>
              <w:t>Name</w:t>
            </w:r>
            <w:r w:rsidRPr="004A0072">
              <w:rPr>
                <w:rFonts w:ascii="Arial" w:hAnsi="Arial" w:cs="Arial"/>
                <w:b/>
                <w:bCs/>
                <w:color w:val="000000"/>
                <w:sz w:val="18"/>
                <w:szCs w:val="18"/>
                <w:vertAlign w:val="superscript"/>
              </w:rPr>
              <w:t>a</w:t>
            </w:r>
            <w:proofErr w:type="spellEnd"/>
            <w:r w:rsidRPr="004A0072">
              <w:rPr>
                <w:rFonts w:ascii="Arial" w:hAnsi="Arial" w:cs="Arial"/>
                <w:b/>
                <w:bCs/>
                <w:color w:val="000000"/>
                <w:sz w:val="18"/>
                <w:szCs w:val="18"/>
              </w:rPr>
              <w:t xml:space="preserve"> </w:t>
            </w:r>
          </w:p>
        </w:tc>
        <w:tc>
          <w:tcPr>
            <w:tcW w:w="1080" w:type="dxa"/>
            <w:tcBorders>
              <w:top w:val="single" w:sz="4" w:space="0" w:color="auto"/>
            </w:tcBorders>
            <w:hideMark/>
          </w:tcPr>
          <w:p w:rsidR="00D67368" w:rsidRPr="004A0072" w:rsidRDefault="00D67368" w:rsidP="00D67368">
            <w:pPr>
              <w:rPr>
                <w:rFonts w:ascii="Arial" w:hAnsi="Arial" w:cs="Arial"/>
                <w:b/>
                <w:color w:val="000000"/>
                <w:sz w:val="18"/>
                <w:szCs w:val="18"/>
              </w:rPr>
            </w:pPr>
            <w:proofErr w:type="spellStart"/>
            <w:r w:rsidRPr="004A0072">
              <w:rPr>
                <w:rFonts w:ascii="Arial" w:hAnsi="Arial" w:cs="Arial"/>
                <w:b/>
                <w:color w:val="000000"/>
                <w:sz w:val="18"/>
                <w:szCs w:val="18"/>
              </w:rPr>
              <w:t>Randomi-zation</w:t>
            </w:r>
            <w:proofErr w:type="spellEnd"/>
            <w:r w:rsidRPr="004A0072">
              <w:rPr>
                <w:rFonts w:ascii="Arial" w:hAnsi="Arial" w:cs="Arial"/>
                <w:b/>
                <w:color w:val="000000"/>
                <w:sz w:val="18"/>
                <w:szCs w:val="18"/>
              </w:rPr>
              <w:t xml:space="preserve"> Method Adequate? </w:t>
            </w:r>
          </w:p>
        </w:tc>
        <w:tc>
          <w:tcPr>
            <w:tcW w:w="900" w:type="dxa"/>
            <w:tcBorders>
              <w:top w:val="single" w:sz="4" w:space="0" w:color="auto"/>
            </w:tcBorders>
            <w:hideMark/>
          </w:tcPr>
          <w:p w:rsidR="00D67368" w:rsidRPr="004A0072" w:rsidRDefault="00D67368" w:rsidP="00D67368">
            <w:pPr>
              <w:rPr>
                <w:rFonts w:ascii="Arial" w:hAnsi="Arial" w:cs="Arial"/>
                <w:b/>
                <w:color w:val="000000"/>
                <w:sz w:val="18"/>
                <w:szCs w:val="18"/>
              </w:rPr>
            </w:pPr>
            <w:proofErr w:type="spellStart"/>
            <w:r w:rsidRPr="004A0072">
              <w:rPr>
                <w:rFonts w:ascii="Arial" w:hAnsi="Arial" w:cs="Arial"/>
                <w:b/>
                <w:color w:val="000000"/>
                <w:sz w:val="18"/>
                <w:szCs w:val="18"/>
              </w:rPr>
              <w:t>Allo-cation</w:t>
            </w:r>
            <w:proofErr w:type="spellEnd"/>
            <w:r w:rsidRPr="004A0072">
              <w:rPr>
                <w:rFonts w:ascii="Arial" w:hAnsi="Arial" w:cs="Arial"/>
                <w:b/>
                <w:color w:val="000000"/>
                <w:sz w:val="18"/>
                <w:szCs w:val="18"/>
              </w:rPr>
              <w:t xml:space="preserve"> Conceal-</w:t>
            </w:r>
            <w:proofErr w:type="spellStart"/>
            <w:r w:rsidRPr="004A0072">
              <w:rPr>
                <w:rFonts w:ascii="Arial" w:hAnsi="Arial" w:cs="Arial"/>
                <w:b/>
                <w:color w:val="000000"/>
                <w:sz w:val="18"/>
                <w:szCs w:val="18"/>
              </w:rPr>
              <w:t>ment</w:t>
            </w:r>
            <w:proofErr w:type="spellEnd"/>
            <w:r w:rsidRPr="004A0072">
              <w:rPr>
                <w:rFonts w:ascii="Arial" w:hAnsi="Arial" w:cs="Arial"/>
                <w:b/>
                <w:color w:val="000000"/>
                <w:sz w:val="18"/>
                <w:szCs w:val="18"/>
              </w:rPr>
              <w:t xml:space="preserve"> Ad-equate?</w:t>
            </w:r>
          </w:p>
        </w:tc>
        <w:tc>
          <w:tcPr>
            <w:tcW w:w="990" w:type="dxa"/>
            <w:tcBorders>
              <w:top w:val="single" w:sz="4" w:space="0" w:color="auto"/>
            </w:tcBorders>
          </w:tcPr>
          <w:p w:rsidR="00D67368" w:rsidRPr="004A0072" w:rsidRDefault="00D67368" w:rsidP="00D67368">
            <w:pPr>
              <w:rPr>
                <w:rFonts w:ascii="Arial" w:hAnsi="Arial" w:cs="Arial"/>
                <w:b/>
                <w:color w:val="000000"/>
                <w:sz w:val="18"/>
                <w:szCs w:val="18"/>
              </w:rPr>
            </w:pPr>
            <w:proofErr w:type="gramStart"/>
            <w:r w:rsidRPr="004A0072">
              <w:rPr>
                <w:rFonts w:ascii="Arial" w:hAnsi="Arial" w:cs="Arial"/>
                <w:b/>
                <w:color w:val="000000"/>
                <w:sz w:val="18"/>
                <w:szCs w:val="18"/>
              </w:rPr>
              <w:t>Are</w:t>
            </w:r>
            <w:proofErr w:type="gramEnd"/>
            <w:r w:rsidRPr="004A0072">
              <w:rPr>
                <w:rFonts w:ascii="Arial" w:hAnsi="Arial" w:cs="Arial"/>
                <w:b/>
                <w:color w:val="000000"/>
                <w:sz w:val="18"/>
                <w:szCs w:val="18"/>
              </w:rPr>
              <w:t xml:space="preserve"> Groups Similar at Base-line? </w:t>
            </w:r>
          </w:p>
        </w:tc>
        <w:tc>
          <w:tcPr>
            <w:tcW w:w="900" w:type="dxa"/>
            <w:tcBorders>
              <w:top w:val="single" w:sz="4" w:space="0" w:color="auto"/>
            </w:tcBorders>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 xml:space="preserve">Outcome </w:t>
            </w:r>
            <w:proofErr w:type="spellStart"/>
            <w:r w:rsidRPr="004A0072">
              <w:rPr>
                <w:rFonts w:ascii="Arial" w:hAnsi="Arial" w:cs="Arial"/>
                <w:b/>
                <w:color w:val="000000"/>
                <w:sz w:val="18"/>
                <w:szCs w:val="18"/>
              </w:rPr>
              <w:t>Asse-ssors</w:t>
            </w:r>
            <w:proofErr w:type="spellEnd"/>
            <w:r w:rsidRPr="004A0072">
              <w:rPr>
                <w:rFonts w:ascii="Arial" w:hAnsi="Arial" w:cs="Arial"/>
                <w:b/>
                <w:color w:val="000000"/>
                <w:sz w:val="18"/>
                <w:szCs w:val="18"/>
              </w:rPr>
              <w:t xml:space="preserve"> Blinded?</w:t>
            </w:r>
          </w:p>
        </w:tc>
        <w:tc>
          <w:tcPr>
            <w:tcW w:w="1260" w:type="dxa"/>
            <w:tcBorders>
              <w:top w:val="single" w:sz="4" w:space="0" w:color="auto"/>
            </w:tcBorders>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Overall Attrition</w:t>
            </w:r>
          </w:p>
          <w:p w:rsidR="00D67368" w:rsidRPr="004A0072" w:rsidRDefault="00D67368" w:rsidP="00D67368">
            <w:pPr>
              <w:rPr>
                <w:rFonts w:ascii="Arial" w:hAnsi="Arial" w:cs="Arial"/>
                <w:b/>
                <w:color w:val="000000"/>
                <w:sz w:val="18"/>
                <w:szCs w:val="18"/>
              </w:rPr>
            </w:pPr>
          </w:p>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Differential Attrition</w:t>
            </w:r>
          </w:p>
        </w:tc>
        <w:tc>
          <w:tcPr>
            <w:tcW w:w="900" w:type="dxa"/>
            <w:tcBorders>
              <w:top w:val="single" w:sz="4" w:space="0" w:color="auto"/>
            </w:tcBorders>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Does High Attrition Rate Raise Concern for Bias?</w:t>
            </w:r>
          </w:p>
        </w:tc>
        <w:tc>
          <w:tcPr>
            <w:tcW w:w="900" w:type="dxa"/>
            <w:tcBorders>
              <w:top w:val="single" w:sz="4" w:space="0" w:color="auto"/>
            </w:tcBorders>
            <w:hideMark/>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Inter-</w:t>
            </w:r>
            <w:proofErr w:type="spellStart"/>
            <w:r w:rsidRPr="004A0072">
              <w:rPr>
                <w:rFonts w:ascii="Arial" w:hAnsi="Arial" w:cs="Arial"/>
                <w:b/>
                <w:color w:val="000000"/>
                <w:sz w:val="18"/>
                <w:szCs w:val="18"/>
              </w:rPr>
              <w:t>vention</w:t>
            </w:r>
            <w:proofErr w:type="spellEnd"/>
            <w:r w:rsidRPr="004A0072">
              <w:rPr>
                <w:rFonts w:ascii="Arial" w:hAnsi="Arial" w:cs="Arial"/>
                <w:b/>
                <w:color w:val="000000"/>
                <w:sz w:val="18"/>
                <w:szCs w:val="18"/>
              </w:rPr>
              <w:t xml:space="preserve"> Fidelity Ad-equate?</w:t>
            </w:r>
          </w:p>
        </w:tc>
        <w:tc>
          <w:tcPr>
            <w:tcW w:w="1091" w:type="dxa"/>
            <w:tcBorders>
              <w:top w:val="single" w:sz="4" w:space="0" w:color="auto"/>
            </w:tcBorders>
            <w:hideMark/>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ITT Ana-</w:t>
            </w:r>
            <w:proofErr w:type="spellStart"/>
            <w:r w:rsidRPr="004A0072">
              <w:rPr>
                <w:rFonts w:ascii="Arial" w:hAnsi="Arial" w:cs="Arial"/>
                <w:b/>
                <w:color w:val="000000"/>
                <w:sz w:val="18"/>
                <w:szCs w:val="18"/>
              </w:rPr>
              <w:t>lysis</w:t>
            </w:r>
            <w:proofErr w:type="spellEnd"/>
            <w:r w:rsidRPr="004A0072">
              <w:rPr>
                <w:rFonts w:ascii="Arial" w:hAnsi="Arial" w:cs="Arial"/>
                <w:b/>
                <w:color w:val="000000"/>
                <w:sz w:val="18"/>
                <w:szCs w:val="18"/>
              </w:rPr>
              <w:t>?</w:t>
            </w:r>
          </w:p>
          <w:p w:rsidR="00D67368" w:rsidRPr="004A0072" w:rsidRDefault="00D67368" w:rsidP="00D67368">
            <w:pPr>
              <w:rPr>
                <w:rFonts w:ascii="Arial" w:hAnsi="Arial" w:cs="Arial"/>
                <w:b/>
                <w:color w:val="000000"/>
                <w:sz w:val="18"/>
                <w:szCs w:val="18"/>
              </w:rPr>
            </w:pPr>
          </w:p>
          <w:p w:rsidR="00D67368" w:rsidRPr="004A0072" w:rsidRDefault="00D67368" w:rsidP="00D67368">
            <w:pPr>
              <w:rPr>
                <w:rFonts w:ascii="Arial" w:hAnsi="Arial" w:cs="Arial"/>
                <w:b/>
                <w:color w:val="000000"/>
                <w:sz w:val="18"/>
                <w:szCs w:val="18"/>
              </w:rPr>
            </w:pPr>
            <w:proofErr w:type="spellStart"/>
            <w:r w:rsidRPr="004A0072">
              <w:rPr>
                <w:rFonts w:ascii="Arial" w:hAnsi="Arial" w:cs="Arial"/>
                <w:b/>
                <w:color w:val="000000"/>
                <w:sz w:val="18"/>
                <w:szCs w:val="18"/>
              </w:rPr>
              <w:t>Appro-priate</w:t>
            </w:r>
            <w:proofErr w:type="spellEnd"/>
            <w:r w:rsidRPr="004A0072">
              <w:rPr>
                <w:rFonts w:ascii="Arial" w:hAnsi="Arial" w:cs="Arial"/>
                <w:b/>
                <w:color w:val="000000"/>
                <w:sz w:val="18"/>
                <w:szCs w:val="18"/>
              </w:rPr>
              <w:t xml:space="preserve"> Method for Handling Missing Data?</w:t>
            </w:r>
          </w:p>
        </w:tc>
        <w:tc>
          <w:tcPr>
            <w:tcW w:w="900" w:type="dxa"/>
            <w:tcBorders>
              <w:top w:val="single" w:sz="4" w:space="0" w:color="auto"/>
            </w:tcBorders>
          </w:tcPr>
          <w:p w:rsidR="00D67368" w:rsidRPr="004A0072" w:rsidRDefault="00D67368" w:rsidP="00D67368">
            <w:pPr>
              <w:rPr>
                <w:rFonts w:ascii="Arial" w:hAnsi="Arial" w:cs="Arial"/>
                <w:b/>
                <w:color w:val="000000"/>
                <w:sz w:val="18"/>
                <w:szCs w:val="18"/>
              </w:rPr>
            </w:pPr>
            <w:proofErr w:type="spellStart"/>
            <w:r w:rsidRPr="004A0072">
              <w:rPr>
                <w:rFonts w:ascii="Arial" w:hAnsi="Arial" w:cs="Arial"/>
                <w:b/>
                <w:color w:val="000000"/>
                <w:sz w:val="18"/>
                <w:szCs w:val="18"/>
              </w:rPr>
              <w:t>Utiliz-ation</w:t>
            </w:r>
            <w:proofErr w:type="spellEnd"/>
            <w:r w:rsidRPr="004A0072">
              <w:rPr>
                <w:rFonts w:ascii="Arial" w:hAnsi="Arial" w:cs="Arial"/>
                <w:b/>
                <w:color w:val="000000"/>
                <w:sz w:val="18"/>
                <w:szCs w:val="18"/>
              </w:rPr>
              <w:t xml:space="preserve"> Out-comes: Valid, Reliable, Con-</w:t>
            </w:r>
            <w:proofErr w:type="spellStart"/>
            <w:r w:rsidRPr="004A0072">
              <w:rPr>
                <w:rFonts w:ascii="Arial" w:hAnsi="Arial" w:cs="Arial"/>
                <w:b/>
                <w:color w:val="000000"/>
                <w:sz w:val="18"/>
                <w:szCs w:val="18"/>
              </w:rPr>
              <w:t>sistent</w:t>
            </w:r>
            <w:proofErr w:type="spellEnd"/>
            <w:r w:rsidRPr="004A0072">
              <w:rPr>
                <w:rFonts w:ascii="Arial" w:hAnsi="Arial" w:cs="Arial"/>
                <w:b/>
                <w:color w:val="000000"/>
                <w:sz w:val="18"/>
                <w:szCs w:val="18"/>
              </w:rPr>
              <w:t>?</w:t>
            </w:r>
          </w:p>
        </w:tc>
        <w:tc>
          <w:tcPr>
            <w:tcW w:w="900" w:type="dxa"/>
            <w:tcBorders>
              <w:top w:val="single" w:sz="4" w:space="0" w:color="auto"/>
            </w:tcBorders>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Health and Social Out-comes: Valid, Reliable, Cons-</w:t>
            </w:r>
            <w:proofErr w:type="spellStart"/>
            <w:r w:rsidRPr="004A0072">
              <w:rPr>
                <w:rFonts w:ascii="Arial" w:hAnsi="Arial" w:cs="Arial"/>
                <w:b/>
                <w:color w:val="000000"/>
                <w:sz w:val="18"/>
                <w:szCs w:val="18"/>
              </w:rPr>
              <w:t>istent</w:t>
            </w:r>
            <w:proofErr w:type="spellEnd"/>
            <w:r w:rsidRPr="004A0072">
              <w:rPr>
                <w:rFonts w:ascii="Arial" w:hAnsi="Arial" w:cs="Arial"/>
                <w:b/>
                <w:color w:val="000000"/>
                <w:sz w:val="18"/>
                <w:szCs w:val="18"/>
              </w:rPr>
              <w:t>?</w:t>
            </w:r>
          </w:p>
        </w:tc>
        <w:tc>
          <w:tcPr>
            <w:tcW w:w="2059" w:type="dxa"/>
            <w:tcBorders>
              <w:top w:val="single" w:sz="4" w:space="0" w:color="auto"/>
            </w:tcBorders>
          </w:tcPr>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Risk of Bias</w:t>
            </w:r>
          </w:p>
          <w:p w:rsidR="00D67368" w:rsidRPr="004A0072" w:rsidRDefault="00D67368" w:rsidP="00D67368">
            <w:pPr>
              <w:rPr>
                <w:rFonts w:ascii="Arial" w:hAnsi="Arial" w:cs="Arial"/>
                <w:b/>
                <w:color w:val="000000"/>
                <w:sz w:val="18"/>
                <w:szCs w:val="18"/>
              </w:rPr>
            </w:pPr>
          </w:p>
          <w:p w:rsidR="00D67368" w:rsidRPr="004A0072" w:rsidRDefault="00D67368" w:rsidP="00D67368">
            <w:pPr>
              <w:rPr>
                <w:rFonts w:ascii="Arial" w:hAnsi="Arial" w:cs="Arial"/>
                <w:b/>
                <w:color w:val="000000"/>
                <w:sz w:val="18"/>
                <w:szCs w:val="18"/>
              </w:rPr>
            </w:pPr>
            <w:r w:rsidRPr="004A0072">
              <w:rPr>
                <w:rFonts w:ascii="Arial" w:hAnsi="Arial" w:cs="Arial"/>
                <w:b/>
                <w:color w:val="000000"/>
                <w:sz w:val="18"/>
                <w:szCs w:val="18"/>
              </w:rPr>
              <w:t>Rationale for Any High or Unclear Risk of Bias Ratings</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Angermann</w:t>
            </w:r>
            <w:proofErr w:type="spellEnd"/>
            <w:r>
              <w:t xml:space="preserve"> et al.</w:t>
            </w:r>
            <w:r w:rsidRPr="00BF76BE">
              <w:t>, 2012</w:t>
            </w:r>
            <w:r w:rsidRPr="00BF76BE">
              <w:rPr>
                <w:rFonts w:ascii="Times New Roman" w:hAnsi="Times New Roman" w:cs="Times New Roman"/>
                <w:noProof/>
                <w:vertAlign w:val="superscript"/>
              </w:rPr>
              <w:t>3</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 xml:space="preserve">0% for mortality and utilization outcomes; no </w:t>
            </w:r>
            <w:proofErr w:type="spellStart"/>
            <w:r w:rsidRPr="00BF76BE">
              <w:t>QoL</w:t>
            </w:r>
            <w:proofErr w:type="spellEnd"/>
            <w:r w:rsidRPr="00BF76BE">
              <w:t xml:space="preserve"> available for those who died or did not complete a follow-up phone call (58%)</w:t>
            </w:r>
          </w:p>
          <w:p w:rsidR="00D67368" w:rsidRPr="00BF76BE" w:rsidRDefault="00D67368" w:rsidP="00D67368">
            <w:pPr>
              <w:pStyle w:val="TableText"/>
            </w:pPr>
          </w:p>
          <w:p w:rsidR="00D67368" w:rsidRPr="00BF76BE" w:rsidRDefault="00D67368" w:rsidP="00D67368">
            <w:pPr>
              <w:pStyle w:val="TableText"/>
            </w:pPr>
            <w:r w:rsidRPr="00BF76BE">
              <w:t xml:space="preserve">NA for mortality/ utilization; unclear for </w:t>
            </w:r>
            <w:proofErr w:type="spellStart"/>
            <w:r w:rsidRPr="00BF76BE">
              <w:t>QoL</w:t>
            </w:r>
            <w:proofErr w:type="spellEnd"/>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Pr="00BF76BE" w:rsidRDefault="00D67368" w:rsidP="00D67368">
            <w:pPr>
              <w:pStyle w:val="TableText"/>
            </w:pPr>
            <w:r w:rsidRPr="00BF76BE">
              <w:t>Barth</w:t>
            </w:r>
            <w:r>
              <w:t xml:space="preserve"> et al.</w:t>
            </w:r>
            <w:r w:rsidRPr="00BF76BE">
              <w:t>, 2001</w:t>
            </w:r>
            <w:r w:rsidRPr="00BF76BE">
              <w:rPr>
                <w:rFonts w:ascii="Times New Roman" w:hAnsi="Times New Roman" w:cs="Times New Roman"/>
                <w:noProof/>
                <w:vertAlign w:val="superscript"/>
              </w:rPr>
              <w:t>4</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Unclear or NR</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Unclear</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High</w:t>
            </w:r>
          </w:p>
          <w:p w:rsidR="00D67368" w:rsidRPr="00BF76BE" w:rsidRDefault="00D67368" w:rsidP="00D67368">
            <w:pPr>
              <w:pStyle w:val="TableText"/>
            </w:pPr>
          </w:p>
          <w:p w:rsidR="00D67368" w:rsidRPr="00BF76BE" w:rsidRDefault="00D67368" w:rsidP="00D67368">
            <w:pPr>
              <w:pStyle w:val="TableText"/>
            </w:pPr>
            <w:r w:rsidRPr="00BF76BE">
              <w:t>High risk of selection bias; unclear how the 34 participants were recruited from the overall population. Methods used to measure utilization outcomes were not described.</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lastRenderedPageBreak/>
              <w:t>Benatar</w:t>
            </w:r>
            <w:proofErr w:type="spellEnd"/>
            <w:r>
              <w:t xml:space="preserve"> et al.</w:t>
            </w:r>
            <w:r w:rsidRPr="00BF76BE">
              <w:t>, 2003</w:t>
            </w:r>
            <w:r w:rsidRPr="00BF76BE">
              <w:rPr>
                <w:rFonts w:ascii="Times New Roman" w:hAnsi="Times New Roman" w:cs="Times New Roman"/>
                <w:noProof/>
                <w:vertAlign w:val="superscript"/>
              </w:rPr>
              <w:t>5</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 xml:space="preserve">Yes, for age, sex, race, NYHA, EF; higher </w:t>
            </w:r>
            <w:proofErr w:type="spellStart"/>
            <w:r w:rsidRPr="00BF76BE">
              <w:t>propor</w:t>
            </w:r>
            <w:r>
              <w:t>-</w:t>
            </w:r>
            <w:r w:rsidRPr="00BF76BE">
              <w:t>tions</w:t>
            </w:r>
            <w:proofErr w:type="spellEnd"/>
            <w:r w:rsidRPr="00BF76BE">
              <w:t xml:space="preserve"> with DM, ACEI use, BB use in NTM group</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 xml:space="preserve">0% (3 </w:t>
            </w:r>
            <w:proofErr w:type="spellStart"/>
            <w:r w:rsidRPr="00BF76BE">
              <w:t>ms</w:t>
            </w:r>
            <w:proofErr w:type="spellEnd"/>
            <w:r w:rsidRPr="00BF76BE">
              <w:t>)</w:t>
            </w:r>
          </w:p>
          <w:p w:rsidR="00D67368" w:rsidRPr="00BF76BE" w:rsidRDefault="00D67368" w:rsidP="00D67368">
            <w:pPr>
              <w:pStyle w:val="TableText"/>
            </w:pPr>
          </w:p>
          <w:p w:rsidR="00D67368" w:rsidRPr="00BF76BE" w:rsidRDefault="00D67368" w:rsidP="00D67368">
            <w:pPr>
              <w:pStyle w:val="TableText"/>
            </w:pPr>
            <w:r w:rsidRPr="00BF76BE">
              <w:t xml:space="preserve">0% (3 </w:t>
            </w:r>
            <w:proofErr w:type="spellStart"/>
            <w:r w:rsidRPr="00BF76BE">
              <w:t>ms</w:t>
            </w:r>
            <w:proofErr w:type="spellEnd"/>
            <w:r w:rsidRPr="00BF76BE">
              <w:t>)</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Unclear or NR</w:t>
            </w:r>
          </w:p>
          <w:p w:rsidR="00D67368" w:rsidRPr="00BF76BE" w:rsidRDefault="00D67368" w:rsidP="00D67368">
            <w:pPr>
              <w:pStyle w:val="TableText"/>
            </w:pPr>
          </w:p>
          <w:p w:rsidR="00D67368" w:rsidRPr="00BF76BE" w:rsidRDefault="00D67368" w:rsidP="00D67368">
            <w:pPr>
              <w:pStyle w:val="TableText"/>
            </w:pPr>
            <w:r w:rsidRPr="00BF76BE">
              <w:t xml:space="preserve">NA for 3 </w:t>
            </w:r>
            <w:proofErr w:type="spellStart"/>
            <w:r w:rsidRPr="00BF76BE">
              <w:t>ms</w:t>
            </w:r>
            <w:proofErr w:type="spellEnd"/>
            <w:r w:rsidRPr="00BF76BE">
              <w:t>; NR beyond that</w:t>
            </w:r>
          </w:p>
        </w:tc>
        <w:tc>
          <w:tcPr>
            <w:tcW w:w="900" w:type="dxa"/>
          </w:tcPr>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Unclear (utilization outcomes); Medium (</w:t>
            </w:r>
            <w:proofErr w:type="spellStart"/>
            <w:r w:rsidRPr="00BF76BE">
              <w:t>QoL</w:t>
            </w:r>
            <w:proofErr w:type="spellEnd"/>
            <w:r w:rsidRPr="00BF76BE">
              <w:t>)</w:t>
            </w:r>
          </w:p>
          <w:p w:rsidR="00D67368" w:rsidRPr="00BF76BE" w:rsidRDefault="00D67368" w:rsidP="00D67368">
            <w:pPr>
              <w:pStyle w:val="TableText"/>
            </w:pPr>
          </w:p>
          <w:p w:rsidR="00D67368" w:rsidRPr="00BF76BE" w:rsidRDefault="00D67368" w:rsidP="00D67368">
            <w:pPr>
              <w:pStyle w:val="TableText"/>
            </w:pPr>
            <w:r w:rsidRPr="00BF76BE">
              <w:t xml:space="preserve">Rated unclear for utilization outcomes; ascertainment NR. Measures for </w:t>
            </w:r>
            <w:proofErr w:type="spellStart"/>
            <w:r w:rsidRPr="00BF76BE">
              <w:t>QoL</w:t>
            </w:r>
            <w:proofErr w:type="spellEnd"/>
            <w:r w:rsidRPr="00BF76BE">
              <w:t>, psychological distress, and self-efficacy more clearly described and used validated measures. Masking of outcome assessors NR. Methods or randomization and allocation concealment NR. Although study reports that all randomized patients completed at least 3 months, no flow chart or data included to report attrition over the course of the study. Whether ITT analysis used NR. Unclear how missing data handled (and how much there was) beyond 3 months. Potential COI with senior author as developer of the hardware and software.</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lastRenderedPageBreak/>
              <w:t>Cabezas</w:t>
            </w:r>
            <w:proofErr w:type="spellEnd"/>
            <w:r>
              <w:t xml:space="preserve"> et al.</w:t>
            </w:r>
            <w:r w:rsidRPr="00BF76BE">
              <w:t>, 2006</w:t>
            </w:r>
            <w:r w:rsidRPr="00BF76BE">
              <w:rPr>
                <w:rFonts w:ascii="Times New Roman" w:hAnsi="Times New Roman" w:cs="Times New Roman"/>
                <w:noProof/>
                <w:vertAlign w:val="superscript"/>
              </w:rPr>
              <w:t>6</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w:t>
            </w:r>
          </w:p>
          <w:p w:rsidR="00D67368" w:rsidRPr="00BF76BE" w:rsidRDefault="00D67368" w:rsidP="00D67368">
            <w:pPr>
              <w:pStyle w:val="TableText"/>
            </w:pPr>
            <w:r w:rsidRPr="00BF76BE">
              <w:t>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 xml:space="preserve">0%; no </w:t>
            </w:r>
            <w:proofErr w:type="spellStart"/>
            <w:r w:rsidRPr="00BF76BE">
              <w:t>QoL</w:t>
            </w:r>
            <w:proofErr w:type="spellEnd"/>
            <w:r w:rsidRPr="00BF76BE">
              <w:t xml:space="preserve"> outcomes for 13% who died at 6 months</w:t>
            </w:r>
          </w:p>
          <w:p w:rsidR="00D67368" w:rsidRPr="00BF76BE" w:rsidRDefault="00D67368" w:rsidP="00D67368">
            <w:pPr>
              <w:pStyle w:val="TableText"/>
            </w:pPr>
          </w:p>
          <w:p w:rsidR="00D67368" w:rsidRPr="00BF76BE" w:rsidRDefault="00D67368" w:rsidP="00D67368">
            <w:pPr>
              <w:pStyle w:val="TableText"/>
            </w:pPr>
            <w:r w:rsidRPr="00BF76BE">
              <w:t>0%; 10% when including deaths at 6 months</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p w:rsidR="00D67368" w:rsidRPr="00BF76BE" w:rsidRDefault="00D67368" w:rsidP="00D67368">
            <w:pPr>
              <w:pStyle w:val="TableText"/>
            </w:pPr>
          </w:p>
        </w:tc>
        <w:tc>
          <w:tcPr>
            <w:tcW w:w="1091" w:type="dxa"/>
            <w:noWrap/>
          </w:tcPr>
          <w:p w:rsidR="00D67368" w:rsidRPr="00BF76BE" w:rsidRDefault="00D67368" w:rsidP="00D67368">
            <w:pPr>
              <w:pStyle w:val="TableText"/>
            </w:pPr>
            <w:r w:rsidRPr="00BF76BE">
              <w:t>Unclear or NR</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r w:rsidRPr="00BF76BE">
              <w:t>Dar</w:t>
            </w:r>
            <w:r>
              <w:t xml:space="preserve"> et al.</w:t>
            </w:r>
            <w:r w:rsidRPr="00BF76BE">
              <w:t>, 2009</w:t>
            </w:r>
            <w:r w:rsidRPr="00BF76BE">
              <w:rPr>
                <w:rFonts w:ascii="Times New Roman" w:hAnsi="Times New Roman" w:cs="Times New Roman"/>
                <w:noProof/>
                <w:vertAlign w:val="superscript"/>
              </w:rPr>
              <w:t>7</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0%</w:t>
            </w:r>
            <w:r w:rsidRPr="00BF76BE" w:rsidDel="005666A6">
              <w:t xml:space="preserve"> </w:t>
            </w:r>
          </w:p>
        </w:tc>
        <w:tc>
          <w:tcPr>
            <w:tcW w:w="900" w:type="dxa"/>
          </w:tcPr>
          <w:p w:rsidR="00D67368" w:rsidRPr="00BF76BE" w:rsidRDefault="00D67368" w:rsidP="00D67368">
            <w:pPr>
              <w:pStyle w:val="TableText"/>
            </w:pPr>
            <w:r w:rsidRPr="00BF76BE">
              <w:t xml:space="preserve">No </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Pr="00BF76BE" w:rsidRDefault="00D67368" w:rsidP="00D67368">
            <w:pPr>
              <w:pStyle w:val="TableText"/>
            </w:pPr>
            <w:r w:rsidRPr="00BF76BE">
              <w:t>Davis</w:t>
            </w:r>
            <w:r>
              <w:t xml:space="preserve"> et al.</w:t>
            </w:r>
            <w:r w:rsidRPr="00BF76BE">
              <w:t>, 2012</w:t>
            </w:r>
            <w:r w:rsidRPr="00BF76BE">
              <w:rPr>
                <w:rFonts w:ascii="Times New Roman" w:hAnsi="Times New Roman" w:cs="Times New Roman"/>
                <w:noProof/>
                <w:vertAlign w:val="superscript"/>
              </w:rPr>
              <w:t>8</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13%</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Dendale</w:t>
            </w:r>
            <w:proofErr w:type="spellEnd"/>
            <w:r>
              <w:t xml:space="preserve"> et al.</w:t>
            </w:r>
            <w:r w:rsidRPr="00BF76BE">
              <w:t>, 2012</w:t>
            </w:r>
            <w:r w:rsidRPr="00BF76BE">
              <w:rPr>
                <w:rFonts w:ascii="Times New Roman" w:hAnsi="Times New Roman" w:cs="Times New Roman"/>
                <w:noProof/>
                <w:vertAlign w:val="superscript"/>
              </w:rPr>
              <w:t>9</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NR</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Unclear</w:t>
            </w:r>
          </w:p>
          <w:p w:rsidR="00D67368" w:rsidRPr="00BF76BE" w:rsidRDefault="00D67368" w:rsidP="00D67368">
            <w:pPr>
              <w:pStyle w:val="TableText"/>
            </w:pPr>
          </w:p>
          <w:p w:rsidR="00D67368" w:rsidRPr="00BF76BE" w:rsidRDefault="00D67368" w:rsidP="00D67368">
            <w:pPr>
              <w:pStyle w:val="TableText"/>
            </w:pPr>
            <w:r w:rsidRPr="00BF76BE">
              <w:t xml:space="preserve">Unclear fidelity- study reports that 76% of the GPs logged into the website at least once during the study. Unclear if the GPs could receive patient alerts outside of the website. It is unclear how utilization outcomes were measured; no specific information is given. </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Domingues</w:t>
            </w:r>
            <w:proofErr w:type="spellEnd"/>
            <w:r>
              <w:t xml:space="preserve"> et al.</w:t>
            </w:r>
            <w:r w:rsidRPr="00BF76BE">
              <w:t>, 2011</w:t>
            </w:r>
            <w:r w:rsidRPr="00BF76BE">
              <w:rPr>
                <w:rFonts w:ascii="Times New Roman" w:hAnsi="Times New Roman" w:cs="Times New Roman"/>
                <w:noProof/>
                <w:vertAlign w:val="superscript"/>
              </w:rPr>
              <w:t>10</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4%</w:t>
            </w:r>
          </w:p>
          <w:p w:rsidR="00D67368" w:rsidRPr="00BF76BE" w:rsidRDefault="00D67368" w:rsidP="00D67368">
            <w:pPr>
              <w:pStyle w:val="TableText"/>
            </w:pPr>
          </w:p>
          <w:p w:rsidR="00D67368" w:rsidRPr="00BF76BE" w:rsidRDefault="00D67368" w:rsidP="00D67368">
            <w:pPr>
              <w:pStyle w:val="TableText"/>
            </w:pPr>
            <w:r w:rsidRPr="00BF76BE">
              <w:t>3%</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NA</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lastRenderedPageBreak/>
              <w:t>Ducharme</w:t>
            </w:r>
            <w:proofErr w:type="spellEnd"/>
            <w:r>
              <w:t xml:space="preserve"> et al.</w:t>
            </w:r>
            <w:r w:rsidRPr="00BF76BE">
              <w:t>, 2005</w:t>
            </w:r>
            <w:r w:rsidRPr="00BF76BE">
              <w:rPr>
                <w:rFonts w:ascii="Times New Roman" w:hAnsi="Times New Roman" w:cs="Times New Roman"/>
                <w:noProof/>
                <w:vertAlign w:val="superscript"/>
              </w:rPr>
              <w:t>11</w:t>
            </w:r>
          </w:p>
        </w:tc>
        <w:tc>
          <w:tcPr>
            <w:tcW w:w="108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 xml:space="preserve">Yes for </w:t>
            </w:r>
            <w:proofErr w:type="spellStart"/>
            <w:r w:rsidRPr="00BF76BE">
              <w:t>QoL</w:t>
            </w:r>
            <w:proofErr w:type="spellEnd"/>
            <w:r w:rsidRPr="00BF76BE">
              <w:t>, No for utilization outcomes.</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NA</w:t>
            </w:r>
          </w:p>
        </w:tc>
        <w:tc>
          <w:tcPr>
            <w:tcW w:w="900" w:type="dxa"/>
            <w:noWrap/>
          </w:tcPr>
          <w:p w:rsidR="00D67368" w:rsidRPr="00BF76BE" w:rsidRDefault="00D67368" w:rsidP="00D67368">
            <w:pPr>
              <w:pStyle w:val="TableText"/>
            </w:pPr>
            <w:r w:rsidRPr="00BF76BE">
              <w:t>Yes</w:t>
            </w:r>
          </w:p>
        </w:tc>
        <w:tc>
          <w:tcPr>
            <w:tcW w:w="1091" w:type="dxa"/>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Low</w:t>
            </w:r>
          </w:p>
        </w:tc>
      </w:tr>
      <w:tr w:rsidR="00D67368" w:rsidRPr="00D975DD" w:rsidTr="00D67368">
        <w:trPr>
          <w:cantSplit/>
        </w:trPr>
        <w:tc>
          <w:tcPr>
            <w:tcW w:w="1109" w:type="dxa"/>
          </w:tcPr>
          <w:p w:rsidR="00D67368" w:rsidRPr="00BF76BE" w:rsidRDefault="00D67368" w:rsidP="00D67368">
            <w:pPr>
              <w:pStyle w:val="TableText"/>
            </w:pPr>
            <w:r w:rsidRPr="00BF76BE">
              <w:t>Duffy</w:t>
            </w:r>
            <w:r>
              <w:t xml:space="preserve"> et al.</w:t>
            </w:r>
            <w:r w:rsidRPr="00BF76BE">
              <w:t>, 2010</w:t>
            </w:r>
            <w:r w:rsidRPr="00BF76BE">
              <w:rPr>
                <w:rFonts w:ascii="Times New Roman" w:hAnsi="Times New Roman" w:cs="Times New Roman"/>
                <w:noProof/>
                <w:vertAlign w:val="superscript"/>
              </w:rPr>
              <w:t>12</w:t>
            </w:r>
          </w:p>
        </w:tc>
        <w:tc>
          <w:tcPr>
            <w:tcW w:w="1080" w:type="dxa"/>
            <w:noWrap/>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No</w:t>
            </w:r>
          </w:p>
        </w:tc>
        <w:tc>
          <w:tcPr>
            <w:tcW w:w="990" w:type="dxa"/>
          </w:tcPr>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NR/CND</w:t>
            </w:r>
          </w:p>
          <w:p w:rsidR="00D67368" w:rsidRPr="00BF76BE" w:rsidRDefault="00D67368" w:rsidP="00D67368">
            <w:pPr>
              <w:pStyle w:val="TableText"/>
            </w:pPr>
          </w:p>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Unclear or NR</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Unclear or NR</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unclear</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High</w:t>
            </w:r>
          </w:p>
          <w:p w:rsidR="00D67368" w:rsidRPr="00BF76BE" w:rsidRDefault="00D67368" w:rsidP="00D67368">
            <w:pPr>
              <w:pStyle w:val="TableText"/>
            </w:pPr>
          </w:p>
          <w:p w:rsidR="00D67368" w:rsidRPr="00BF76BE" w:rsidRDefault="00D67368" w:rsidP="00D67368">
            <w:pPr>
              <w:pStyle w:val="TableText"/>
            </w:pPr>
            <w:r w:rsidRPr="00BF76BE">
              <w:t>Sample characteristics not given for separate arms; in the text, noted that there were no differences. Unclear if the database used to capture healthcare utilization is comprehensive or based on only nurse input of known utilization. Control arm poorly described and received nearly as many home visits as the intervention group.</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lastRenderedPageBreak/>
              <w:t>Dunagan</w:t>
            </w:r>
            <w:proofErr w:type="spellEnd"/>
            <w:r>
              <w:t xml:space="preserve"> et al.</w:t>
            </w:r>
            <w:r w:rsidRPr="00BF76BE">
              <w:t>, 2005</w:t>
            </w:r>
            <w:r w:rsidRPr="007F243B">
              <w:rPr>
                <w:rFonts w:ascii="Times New Roman" w:hAnsi="Times New Roman" w:cs="Times New Roman"/>
                <w:noProof/>
                <w:vertAlign w:val="superscript"/>
              </w:rPr>
              <w:t>13</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 xml:space="preserve">0% for utilization outcomes; see Risk of bias/Rationale for rating column for </w:t>
            </w:r>
            <w:proofErr w:type="spellStart"/>
            <w:r w:rsidRPr="00BF76BE">
              <w:t>QoL</w:t>
            </w:r>
            <w:proofErr w:type="spellEnd"/>
          </w:p>
          <w:p w:rsidR="00D67368" w:rsidRPr="00BF76BE" w:rsidRDefault="00D67368" w:rsidP="00D67368">
            <w:pPr>
              <w:pStyle w:val="TableText"/>
            </w:pPr>
          </w:p>
          <w:p w:rsidR="00D67368" w:rsidRPr="00BF76BE" w:rsidRDefault="00D67368" w:rsidP="00D67368">
            <w:pPr>
              <w:pStyle w:val="TableText"/>
            </w:pPr>
            <w:r w:rsidRPr="00BF76BE">
              <w:t xml:space="preserve">0% for utilization outcomes; see Risk of bias/Rationale for rating column for </w:t>
            </w:r>
            <w:proofErr w:type="spellStart"/>
            <w:r w:rsidRPr="00BF76BE">
              <w:t>QoL</w:t>
            </w:r>
            <w:proofErr w:type="spellEnd"/>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 xml:space="preserve">NA for utilization outcomes; no for </w:t>
            </w:r>
            <w:proofErr w:type="spellStart"/>
            <w:r w:rsidRPr="00BF76BE">
              <w:t>QoL</w:t>
            </w:r>
            <w:proofErr w:type="spellEnd"/>
            <w:r w:rsidRPr="00BF76BE">
              <w:t xml:space="preserve"> outcomes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r w:rsidRPr="00BF76BE">
              <w:t>Ekman</w:t>
            </w:r>
            <w:r>
              <w:t xml:space="preserve"> et al.</w:t>
            </w:r>
            <w:r w:rsidRPr="00BF76BE">
              <w:t>, 1998</w:t>
            </w:r>
            <w:r w:rsidRPr="007F243B">
              <w:rPr>
                <w:rFonts w:ascii="Times New Roman" w:hAnsi="Times New Roman" w:cs="Times New Roman"/>
                <w:noProof/>
                <w:vertAlign w:val="superscript"/>
              </w:rPr>
              <w:t>14</w:t>
            </w:r>
          </w:p>
        </w:tc>
        <w:tc>
          <w:tcPr>
            <w:tcW w:w="108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For most characteristics, however more patients in usual care group had AF</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r w:rsidRPr="00BF76BE">
              <w:lastRenderedPageBreak/>
              <w:t>Goldberg</w:t>
            </w:r>
            <w:r>
              <w:t xml:space="preserve"> et al.</w:t>
            </w:r>
            <w:r w:rsidRPr="00BF76BE">
              <w:t>, 2003</w:t>
            </w:r>
            <w:r w:rsidRPr="007F243B">
              <w:rPr>
                <w:rFonts w:ascii="Times New Roman" w:hAnsi="Times New Roman" w:cs="Times New Roman"/>
                <w:noProof/>
                <w:vertAlign w:val="superscript"/>
              </w:rPr>
              <w:t>15</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11.4%</w:t>
            </w:r>
          </w:p>
          <w:p w:rsidR="00D67368" w:rsidRPr="00BF76BE" w:rsidRDefault="00D67368" w:rsidP="00D67368">
            <w:pPr>
              <w:pStyle w:val="TableText"/>
            </w:pPr>
          </w:p>
          <w:p w:rsidR="00D67368" w:rsidRPr="00BF76BE" w:rsidRDefault="00D67368" w:rsidP="00D67368">
            <w:pPr>
              <w:pStyle w:val="TableText"/>
            </w:pPr>
            <w:r w:rsidRPr="00BF76BE">
              <w:t>CND, but article reports that there was no difference between groups in % of patients who failed to complete 6 months</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NR/CND for utilization (likely censored); completers analysis for health and social outcomes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Pr="00BF76BE" w:rsidRDefault="00D67368" w:rsidP="00D67368">
            <w:pPr>
              <w:pStyle w:val="TableText"/>
            </w:pPr>
            <w:r w:rsidRPr="00BF76BE">
              <w:t>Holland</w:t>
            </w:r>
            <w:r>
              <w:t xml:space="preserve"> et al.</w:t>
            </w:r>
            <w:r w:rsidRPr="00BF76BE">
              <w:t>, 2007</w:t>
            </w:r>
            <w:r w:rsidRPr="007F243B">
              <w:rPr>
                <w:rFonts w:ascii="Times New Roman" w:hAnsi="Times New Roman" w:cs="Times New Roman"/>
                <w:noProof/>
                <w:vertAlign w:val="superscript"/>
              </w:rPr>
              <w:t>16</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1%</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proofErr w:type="spellStart"/>
            <w:r w:rsidRPr="00BF76BE">
              <w:t>Jaarsma</w:t>
            </w:r>
            <w:proofErr w:type="spellEnd"/>
            <w:r>
              <w:t xml:space="preserve"> et al.</w:t>
            </w:r>
            <w:r w:rsidRPr="00BF76BE">
              <w:t>, 1999</w:t>
            </w:r>
            <w:r w:rsidRPr="007F243B">
              <w:rPr>
                <w:rFonts w:ascii="Times New Roman" w:hAnsi="Times New Roman" w:cs="Times New Roman"/>
                <w:noProof/>
                <w:vertAlign w:val="superscript"/>
              </w:rPr>
              <w:t>17</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No</w:t>
            </w:r>
          </w:p>
        </w:tc>
        <w:tc>
          <w:tcPr>
            <w:tcW w:w="1260" w:type="dxa"/>
          </w:tcPr>
          <w:p w:rsidR="00D67368" w:rsidRPr="00BF76BE" w:rsidRDefault="00D67368" w:rsidP="00D67368">
            <w:pPr>
              <w:pStyle w:val="TableText"/>
            </w:pPr>
            <w:r w:rsidRPr="00BF76BE">
              <w:t>5% "non-response" rate; 17% of sample died</w:t>
            </w:r>
          </w:p>
          <w:p w:rsidR="00D67368" w:rsidRPr="00BF76BE" w:rsidRDefault="00D67368" w:rsidP="00D67368">
            <w:pPr>
              <w:pStyle w:val="TableText"/>
            </w:pPr>
          </w:p>
          <w:p w:rsidR="00D67368" w:rsidRPr="00BF76BE" w:rsidRDefault="00D67368" w:rsidP="00D67368">
            <w:pPr>
              <w:pStyle w:val="TableText"/>
            </w:pPr>
            <w:r w:rsidRPr="00BF76BE">
              <w:t>0% for loss to follow-up</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Unclear</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Default="00D67368" w:rsidP="00D67368">
            <w:pPr>
              <w:pStyle w:val="TableText"/>
            </w:pPr>
            <w:proofErr w:type="spellStart"/>
            <w:r w:rsidRPr="00BF76BE">
              <w:t>Jerant</w:t>
            </w:r>
            <w:proofErr w:type="spellEnd"/>
            <w:r>
              <w:t xml:space="preserve"> et al.</w:t>
            </w:r>
            <w:r w:rsidRPr="00BF76BE">
              <w:t>, 2001</w:t>
            </w:r>
            <w:r w:rsidRPr="007F243B">
              <w:rPr>
                <w:rFonts w:ascii="Times New Roman" w:hAnsi="Times New Roman" w:cs="Times New Roman"/>
                <w:noProof/>
                <w:vertAlign w:val="superscript"/>
              </w:rPr>
              <w:t>18</w:t>
            </w:r>
          </w:p>
          <w:p w:rsidR="00D67368" w:rsidRDefault="00D67368" w:rsidP="00D67368">
            <w:pPr>
              <w:pStyle w:val="TableText"/>
            </w:pPr>
          </w:p>
          <w:p w:rsidR="00D67368" w:rsidRPr="00BF76BE" w:rsidRDefault="00D67368" w:rsidP="00D67368">
            <w:pPr>
              <w:pStyle w:val="TableText"/>
            </w:pPr>
            <w:proofErr w:type="spellStart"/>
            <w:r w:rsidRPr="00BF76BE">
              <w:t>Jerant</w:t>
            </w:r>
            <w:proofErr w:type="spellEnd"/>
            <w:r>
              <w:t xml:space="preserve"> et al.</w:t>
            </w:r>
            <w:r w:rsidRPr="00BF76BE">
              <w:t>, 2003</w:t>
            </w:r>
            <w:r w:rsidRPr="007F243B">
              <w:rPr>
                <w:rFonts w:ascii="Times New Roman" w:hAnsi="Times New Roman" w:cs="Times New Roman"/>
                <w:noProof/>
                <w:vertAlign w:val="superscript"/>
              </w:rPr>
              <w:t>19</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No</w:t>
            </w:r>
          </w:p>
        </w:tc>
        <w:tc>
          <w:tcPr>
            <w:tcW w:w="1260" w:type="dxa"/>
          </w:tcPr>
          <w:p w:rsidR="00D67368" w:rsidRPr="00BF76BE" w:rsidRDefault="00D67368" w:rsidP="00D67368">
            <w:pPr>
              <w:pStyle w:val="TableText"/>
            </w:pPr>
            <w:r w:rsidRPr="00BF76BE">
              <w:t xml:space="preserve">0% </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No</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High</w:t>
            </w:r>
          </w:p>
          <w:p w:rsidR="00D67368" w:rsidRPr="00BF76BE" w:rsidRDefault="00D67368" w:rsidP="00D67368">
            <w:pPr>
              <w:pStyle w:val="TableText"/>
            </w:pPr>
          </w:p>
          <w:p w:rsidR="00D67368" w:rsidRPr="00BF76BE" w:rsidRDefault="00D67368" w:rsidP="00D67368">
            <w:pPr>
              <w:pStyle w:val="TableText"/>
            </w:pPr>
            <w:r w:rsidRPr="00BF76BE">
              <w:t xml:space="preserve">Small study (37 participants) that suffers from concerns regarding intervention fidelity. Authors note that at least one technical problem affected 76% of all </w:t>
            </w:r>
            <w:proofErr w:type="spellStart"/>
            <w:r w:rsidRPr="00BF76BE">
              <w:t>telemonitoring</w:t>
            </w:r>
            <w:proofErr w:type="spellEnd"/>
            <w:r w:rsidRPr="00BF76BE">
              <w:t xml:space="preserve"> encounters.</w:t>
            </w:r>
          </w:p>
        </w:tc>
      </w:tr>
      <w:tr w:rsidR="00D67368" w:rsidRPr="00D975DD" w:rsidTr="00D67368">
        <w:trPr>
          <w:cantSplit/>
        </w:trPr>
        <w:tc>
          <w:tcPr>
            <w:tcW w:w="1109" w:type="dxa"/>
          </w:tcPr>
          <w:p w:rsidR="00D67368" w:rsidRPr="00BF76BE" w:rsidRDefault="00D67368" w:rsidP="00D67368">
            <w:pPr>
              <w:pStyle w:val="TableText"/>
            </w:pPr>
            <w:r w:rsidRPr="00BF76BE">
              <w:lastRenderedPageBreak/>
              <w:t>Kasper</w:t>
            </w:r>
            <w:r>
              <w:t xml:space="preserve"> et al.,</w:t>
            </w:r>
            <w:r w:rsidRPr="00BF76BE">
              <w:t xml:space="preserve"> 2002</w:t>
            </w:r>
            <w:r w:rsidRPr="007F243B">
              <w:rPr>
                <w:rFonts w:ascii="Times New Roman" w:hAnsi="Times New Roman" w:cs="Times New Roman"/>
                <w:noProof/>
                <w:vertAlign w:val="superscript"/>
              </w:rPr>
              <w:t>20</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Low</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Kimmelstiel</w:t>
            </w:r>
            <w:proofErr w:type="spellEnd"/>
            <w:r>
              <w:t xml:space="preserve"> et al.</w:t>
            </w:r>
            <w:r w:rsidRPr="00BF76BE">
              <w:t>, 2004</w:t>
            </w:r>
            <w:r w:rsidRPr="007F243B">
              <w:rPr>
                <w:rFonts w:ascii="Times New Roman" w:hAnsi="Times New Roman" w:cs="Times New Roman"/>
                <w:noProof/>
                <w:vertAlign w:val="superscript"/>
              </w:rPr>
              <w:t>21</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4.5% due to death at 12 weeks</w:t>
            </w:r>
          </w:p>
          <w:p w:rsidR="00D67368" w:rsidRPr="00BF76BE" w:rsidRDefault="00D67368" w:rsidP="00D67368">
            <w:pPr>
              <w:pStyle w:val="TableText"/>
            </w:pPr>
          </w:p>
          <w:p w:rsidR="00D67368" w:rsidRPr="00BF76BE" w:rsidRDefault="00D67368" w:rsidP="00D67368">
            <w:pPr>
              <w:pStyle w:val="TableText"/>
            </w:pPr>
            <w:r w:rsidRPr="00BF76BE">
              <w:t>NR</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Koelling</w:t>
            </w:r>
            <w:proofErr w:type="spellEnd"/>
            <w:r>
              <w:t xml:space="preserve"> et al.</w:t>
            </w:r>
            <w:r w:rsidRPr="00BF76BE">
              <w:t>, 2005</w:t>
            </w:r>
            <w:r w:rsidRPr="007F243B">
              <w:rPr>
                <w:rFonts w:ascii="Times New Roman" w:hAnsi="Times New Roman" w:cs="Times New Roman"/>
                <w:noProof/>
                <w:vertAlign w:val="superscript"/>
              </w:rPr>
              <w:t>22</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0.0%</w:t>
            </w:r>
          </w:p>
          <w:p w:rsidR="00D67368" w:rsidRPr="00BF76BE" w:rsidRDefault="00D67368" w:rsidP="00D67368">
            <w:pPr>
              <w:pStyle w:val="TableText"/>
            </w:pPr>
          </w:p>
          <w:p w:rsidR="00D67368" w:rsidRPr="00BF76BE" w:rsidRDefault="00D67368" w:rsidP="00D67368">
            <w:pPr>
              <w:pStyle w:val="TableText"/>
            </w:pPr>
            <w:r w:rsidRPr="00BF76BE">
              <w:t>0.0%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Low</w:t>
            </w:r>
          </w:p>
        </w:tc>
      </w:tr>
      <w:tr w:rsidR="00D67368" w:rsidRPr="00D975DD" w:rsidTr="00D67368">
        <w:trPr>
          <w:cantSplit/>
        </w:trPr>
        <w:tc>
          <w:tcPr>
            <w:tcW w:w="1109" w:type="dxa"/>
          </w:tcPr>
          <w:p w:rsidR="00D67368" w:rsidRPr="00BF76BE" w:rsidRDefault="00D67368" w:rsidP="00D67368">
            <w:pPr>
              <w:pStyle w:val="TableText"/>
            </w:pPr>
            <w:r w:rsidRPr="00BF76BE">
              <w:t>Kwok</w:t>
            </w:r>
            <w:r>
              <w:t xml:space="preserve"> et al.</w:t>
            </w:r>
            <w:r w:rsidRPr="00BF76BE">
              <w:t>, 2007</w:t>
            </w:r>
            <w:r w:rsidRPr="007F243B">
              <w:rPr>
                <w:rFonts w:ascii="Times New Roman" w:hAnsi="Times New Roman" w:cs="Times New Roman"/>
                <w:noProof/>
                <w:vertAlign w:val="superscript"/>
              </w:rPr>
              <w:t>23</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Yes for functional  status; unclear for utilization rates</w:t>
            </w:r>
          </w:p>
        </w:tc>
        <w:tc>
          <w:tcPr>
            <w:tcW w:w="1260" w:type="dxa"/>
          </w:tcPr>
          <w:p w:rsidR="00D67368" w:rsidRPr="00BF76BE" w:rsidRDefault="00D67368" w:rsidP="00D67368">
            <w:pPr>
              <w:pStyle w:val="TableText"/>
            </w:pPr>
            <w:r w:rsidRPr="00BF76BE">
              <w:t>2.8%</w:t>
            </w:r>
          </w:p>
          <w:p w:rsidR="00D67368" w:rsidRPr="00BF76BE" w:rsidRDefault="00D67368" w:rsidP="00D67368">
            <w:pPr>
              <w:pStyle w:val="TableText"/>
            </w:pPr>
          </w:p>
          <w:p w:rsidR="00D67368" w:rsidRPr="00BF76BE" w:rsidRDefault="00D67368" w:rsidP="00D67368">
            <w:pPr>
              <w:pStyle w:val="TableText"/>
            </w:pPr>
            <w:r w:rsidRPr="00BF76BE">
              <w:t>1.5%</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Default="00D67368" w:rsidP="00D67368">
            <w:pPr>
              <w:pStyle w:val="TableText"/>
            </w:pPr>
            <w:proofErr w:type="spellStart"/>
            <w:r w:rsidRPr="00BF76BE">
              <w:t>Laramee</w:t>
            </w:r>
            <w:proofErr w:type="spellEnd"/>
            <w:r>
              <w:t xml:space="preserve"> et al.</w:t>
            </w:r>
            <w:r w:rsidRPr="00BF76BE">
              <w:t>, 2003</w:t>
            </w:r>
            <w:r w:rsidRPr="007F243B">
              <w:rPr>
                <w:rFonts w:ascii="Times New Roman" w:hAnsi="Times New Roman" w:cs="Times New Roman"/>
                <w:noProof/>
                <w:vertAlign w:val="superscript"/>
              </w:rPr>
              <w:t>24</w:t>
            </w:r>
          </w:p>
          <w:p w:rsidR="00D67368" w:rsidRDefault="00D67368" w:rsidP="00D67368">
            <w:pPr>
              <w:pStyle w:val="TableText"/>
            </w:pPr>
          </w:p>
          <w:p w:rsidR="00D67368" w:rsidRPr="00BF76BE" w:rsidRDefault="00D67368" w:rsidP="00D67368">
            <w:pPr>
              <w:pStyle w:val="TableText"/>
            </w:pPr>
            <w:r w:rsidRPr="00BF76BE">
              <w:t>RCT</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 xml:space="preserve">Yes, for most, but some differences for PVD, class I and II NYHA, prior CHF </w:t>
            </w:r>
            <w:proofErr w:type="spellStart"/>
            <w:r w:rsidRPr="00BF76BE">
              <w:t>admis</w:t>
            </w:r>
            <w:r>
              <w:t>-</w:t>
            </w:r>
            <w:r w:rsidRPr="00BF76BE">
              <w:t>sions</w:t>
            </w:r>
            <w:proofErr w:type="spellEnd"/>
            <w:r w:rsidRPr="00BF76BE">
              <w:t>, and read</w:t>
            </w:r>
            <w:r>
              <w:t>-</w:t>
            </w:r>
            <w:r w:rsidRPr="00BF76BE">
              <w:t>mission risk factors</w:t>
            </w:r>
          </w:p>
        </w:tc>
        <w:tc>
          <w:tcPr>
            <w:tcW w:w="900" w:type="dxa"/>
          </w:tcPr>
          <w:p w:rsidR="00D67368" w:rsidRPr="00BF76BE" w:rsidRDefault="00D67368" w:rsidP="00D67368">
            <w:pPr>
              <w:pStyle w:val="TableText"/>
            </w:pPr>
            <w:r w:rsidRPr="00BF76BE">
              <w:t>No</w:t>
            </w:r>
          </w:p>
        </w:tc>
        <w:tc>
          <w:tcPr>
            <w:tcW w:w="1260" w:type="dxa"/>
          </w:tcPr>
          <w:p w:rsidR="00D67368" w:rsidRPr="00BF76BE" w:rsidRDefault="00D67368" w:rsidP="00D67368">
            <w:pPr>
              <w:pStyle w:val="TableText"/>
            </w:pPr>
            <w:r w:rsidRPr="00BF76BE">
              <w:t>8.7%</w:t>
            </w:r>
          </w:p>
          <w:p w:rsidR="00D67368" w:rsidRPr="00BF76BE" w:rsidRDefault="00D67368" w:rsidP="00D67368">
            <w:pPr>
              <w:pStyle w:val="TableText"/>
            </w:pPr>
          </w:p>
          <w:p w:rsidR="00D67368" w:rsidRPr="00BF76BE" w:rsidRDefault="00D67368" w:rsidP="00D67368">
            <w:pPr>
              <w:pStyle w:val="TableText"/>
            </w:pPr>
            <w:r w:rsidRPr="00BF76BE">
              <w:t>8.8%</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r w:rsidRPr="00BF76BE">
              <w:t xml:space="preserve">. </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lastRenderedPageBreak/>
              <w:t>Linne</w:t>
            </w:r>
            <w:proofErr w:type="spellEnd"/>
            <w:r>
              <w:t xml:space="preserve"> et al.</w:t>
            </w:r>
            <w:r w:rsidRPr="00BF76BE">
              <w:t>, 2006</w:t>
            </w:r>
            <w:r w:rsidRPr="007F243B">
              <w:rPr>
                <w:rFonts w:ascii="Times New Roman" w:hAnsi="Times New Roman" w:cs="Times New Roman"/>
                <w:noProof/>
                <w:vertAlign w:val="superscript"/>
              </w:rPr>
              <w:t>25</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 xml:space="preserve">Yes, for most </w:t>
            </w:r>
            <w:proofErr w:type="spellStart"/>
            <w:r w:rsidRPr="00BF76BE">
              <w:t>characteris</w:t>
            </w:r>
            <w:proofErr w:type="spellEnd"/>
            <w:r>
              <w:t>-</w:t>
            </w:r>
            <w:r w:rsidRPr="00BF76BE">
              <w:t>tics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2.6%</w:t>
            </w:r>
          </w:p>
          <w:p w:rsidR="00D67368" w:rsidRPr="00BF76BE" w:rsidRDefault="00D67368" w:rsidP="00D67368">
            <w:pPr>
              <w:pStyle w:val="TableText"/>
            </w:pPr>
          </w:p>
          <w:p w:rsidR="00D67368" w:rsidRPr="00BF76BE" w:rsidRDefault="00D67368" w:rsidP="00D67368">
            <w:pPr>
              <w:pStyle w:val="TableText"/>
            </w:pPr>
            <w:r w:rsidRPr="00BF76BE">
              <w:t>1.4%</w:t>
            </w:r>
          </w:p>
          <w:p w:rsidR="00D67368" w:rsidRPr="008F37FA" w:rsidRDefault="00D67368" w:rsidP="00D67368">
            <w:pPr>
              <w:pStyle w:val="TableText"/>
              <w:rPr>
                <w:sz w:val="14"/>
                <w:szCs w:val="14"/>
              </w:rPr>
            </w:pP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NR/CND</w:t>
            </w:r>
          </w:p>
        </w:tc>
        <w:tc>
          <w:tcPr>
            <w:tcW w:w="2059" w:type="dxa"/>
          </w:tcPr>
          <w:p w:rsidR="00D67368" w:rsidRPr="00BF76BE" w:rsidRDefault="00D67368" w:rsidP="00D67368">
            <w:pPr>
              <w:pStyle w:val="TableText"/>
            </w:pPr>
            <w:r w:rsidRPr="00BF76BE">
              <w:t>Unclear</w:t>
            </w:r>
          </w:p>
          <w:p w:rsidR="00D67368" w:rsidRPr="00BF76BE" w:rsidRDefault="00D67368" w:rsidP="00D67368">
            <w:pPr>
              <w:pStyle w:val="TableText"/>
            </w:pPr>
          </w:p>
          <w:p w:rsidR="00D67368" w:rsidRPr="00BF76BE" w:rsidRDefault="00D67368" w:rsidP="00D67368">
            <w:pPr>
              <w:pStyle w:val="TableText"/>
            </w:pPr>
            <w:r w:rsidRPr="00BF76BE">
              <w:t xml:space="preserve">Unclear risk of bias, mainly due to inadequate reporting of information to allow complete assessment of risk of measurement bias. Groups similar at baseline Unclear how missing data handled, but very few subjects had missing outcome data (2/108 and 4/122 refused to participate further in the control and intervention groups, respectively), so likely minimal potential impact. They were likely censored in the survival analysis. Unclear risk of measurement bias: authors only report that they used "an administrative system, </w:t>
            </w:r>
            <w:proofErr w:type="gramStart"/>
            <w:r w:rsidRPr="00BF76BE">
              <w:t>PAS,</w:t>
            </w:r>
            <w:r>
              <w:t xml:space="preserve"> </w:t>
            </w:r>
            <w:r w:rsidRPr="00BF76BE">
              <w:t>...</w:t>
            </w:r>
            <w:proofErr w:type="gramEnd"/>
            <w:r w:rsidRPr="00BF76BE">
              <w:t xml:space="preserve"> to verify all-cause readmissions and deaths within 6 months from discharge</w:t>
            </w:r>
            <w:r>
              <w:t>.</w:t>
            </w:r>
            <w:r w:rsidRPr="00BF76BE">
              <w:t>" Study conducted in Sweden, and no additional information about validity and reliability of that system’s readmission and death information.</w:t>
            </w:r>
          </w:p>
        </w:tc>
      </w:tr>
      <w:tr w:rsidR="00D67368" w:rsidRPr="00D975DD" w:rsidTr="00D67368">
        <w:trPr>
          <w:cantSplit/>
        </w:trPr>
        <w:tc>
          <w:tcPr>
            <w:tcW w:w="1109" w:type="dxa"/>
          </w:tcPr>
          <w:p w:rsidR="00D67368" w:rsidRPr="00BF76BE" w:rsidRDefault="00D67368" w:rsidP="00D67368">
            <w:pPr>
              <w:pStyle w:val="TableText"/>
            </w:pPr>
            <w:r w:rsidRPr="00BF76BE">
              <w:lastRenderedPageBreak/>
              <w:t>Liu</w:t>
            </w:r>
            <w:r>
              <w:t xml:space="preserve"> et al.</w:t>
            </w:r>
            <w:r w:rsidRPr="00BF76BE">
              <w:t>, 2012</w:t>
            </w:r>
            <w:r w:rsidRPr="007F243B">
              <w:rPr>
                <w:rFonts w:ascii="Times New Roman" w:hAnsi="Times New Roman" w:cs="Times New Roman"/>
                <w:noProof/>
                <w:vertAlign w:val="superscript"/>
              </w:rPr>
              <w:t>26</w:t>
            </w:r>
          </w:p>
        </w:tc>
        <w:tc>
          <w:tcPr>
            <w:tcW w:w="1080" w:type="dxa"/>
            <w:noWrap/>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0.00%</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Low</w:t>
            </w:r>
          </w:p>
        </w:tc>
      </w:tr>
      <w:tr w:rsidR="00D67368" w:rsidRPr="00D975DD" w:rsidTr="00D67368">
        <w:trPr>
          <w:cantSplit/>
        </w:trPr>
        <w:tc>
          <w:tcPr>
            <w:tcW w:w="1109" w:type="dxa"/>
          </w:tcPr>
          <w:p w:rsidR="00D67368" w:rsidRPr="00BF76BE" w:rsidRDefault="00D67368" w:rsidP="00D67368">
            <w:pPr>
              <w:pStyle w:val="TableText"/>
            </w:pPr>
            <w:r w:rsidRPr="00BF76BE">
              <w:t>McDonald</w:t>
            </w:r>
            <w:r>
              <w:t xml:space="preserve"> et al.</w:t>
            </w:r>
            <w:r w:rsidRPr="00BF76BE">
              <w:t>, 2001</w:t>
            </w:r>
            <w:r w:rsidRPr="007F243B">
              <w:rPr>
                <w:rFonts w:ascii="Times New Roman" w:hAnsi="Times New Roman" w:cs="Times New Roman"/>
                <w:noProof/>
                <w:vertAlign w:val="superscript"/>
              </w:rPr>
              <w:t>27</w:t>
            </w:r>
          </w:p>
          <w:p w:rsidR="00D67368" w:rsidRPr="00BF76BE" w:rsidRDefault="00D67368" w:rsidP="00D67368">
            <w:pPr>
              <w:pStyle w:val="TableText"/>
            </w:pPr>
            <w:r w:rsidRPr="00BF76BE">
              <w:t>McDonald</w:t>
            </w:r>
            <w:r>
              <w:t xml:space="preserve"> et al.</w:t>
            </w:r>
            <w:r w:rsidRPr="00BF76BE">
              <w:t>, 2002</w:t>
            </w:r>
            <w:r w:rsidRPr="007F243B">
              <w:rPr>
                <w:rFonts w:ascii="Times New Roman" w:hAnsi="Times New Roman" w:cs="Times New Roman"/>
                <w:noProof/>
                <w:vertAlign w:val="superscript"/>
              </w:rPr>
              <w:t>28</w:t>
            </w:r>
          </w:p>
          <w:p w:rsidR="00D67368" w:rsidRPr="00BF76BE" w:rsidRDefault="00D67368" w:rsidP="00D67368">
            <w:pPr>
              <w:pStyle w:val="TableText"/>
            </w:pPr>
            <w:proofErr w:type="spellStart"/>
            <w:r w:rsidRPr="00BF76BE">
              <w:t>Ledwidge</w:t>
            </w:r>
            <w:proofErr w:type="spellEnd"/>
            <w:r>
              <w:t xml:space="preserve"> et al.</w:t>
            </w:r>
            <w:r w:rsidRPr="00BF76BE">
              <w:t>, 2003</w:t>
            </w:r>
            <w:r w:rsidRPr="007F243B">
              <w:rPr>
                <w:rFonts w:ascii="Times New Roman" w:hAnsi="Times New Roman" w:cs="Times New Roman"/>
                <w:noProof/>
                <w:vertAlign w:val="superscript"/>
              </w:rPr>
              <w:t>29</w:t>
            </w:r>
          </w:p>
        </w:tc>
        <w:tc>
          <w:tcPr>
            <w:tcW w:w="1080" w:type="dxa"/>
          </w:tcPr>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Unclear</w:t>
            </w:r>
          </w:p>
        </w:tc>
        <w:tc>
          <w:tcPr>
            <w:tcW w:w="900" w:type="dxa"/>
          </w:tcPr>
          <w:p w:rsidR="00D67368" w:rsidRPr="00BF76BE" w:rsidRDefault="00D67368" w:rsidP="00D67368">
            <w:pPr>
              <w:pStyle w:val="TableText"/>
            </w:pPr>
            <w:r w:rsidRPr="00BF76BE">
              <w:t>Unclear for mortality; Yes for social outcomes</w:t>
            </w:r>
          </w:p>
        </w:tc>
        <w:tc>
          <w:tcPr>
            <w:tcW w:w="2059" w:type="dxa"/>
          </w:tcPr>
          <w:p w:rsidR="00D67368" w:rsidRPr="00BF76BE" w:rsidRDefault="00D67368" w:rsidP="00D67368">
            <w:pPr>
              <w:pStyle w:val="TableText"/>
            </w:pPr>
            <w:r w:rsidRPr="00BF76BE">
              <w:t>Unclear</w:t>
            </w:r>
          </w:p>
          <w:p w:rsidR="00D67368" w:rsidRPr="00BF76BE" w:rsidRDefault="00D67368" w:rsidP="00D67368">
            <w:pPr>
              <w:pStyle w:val="TableText"/>
            </w:pPr>
          </w:p>
          <w:p w:rsidR="00D67368" w:rsidRPr="00BF76BE" w:rsidRDefault="00D67368" w:rsidP="00D67368">
            <w:pPr>
              <w:pStyle w:val="TableText"/>
            </w:pPr>
            <w:r w:rsidRPr="00BF76BE">
              <w:t>Unclear measurement bias. Method of outcome assessment (measurement of mortality and utilization) not described and unclear.</w:t>
            </w:r>
          </w:p>
        </w:tc>
      </w:tr>
      <w:tr w:rsidR="00D67368" w:rsidRPr="00D975DD" w:rsidTr="00D67368">
        <w:trPr>
          <w:cantSplit/>
        </w:trPr>
        <w:tc>
          <w:tcPr>
            <w:tcW w:w="1109" w:type="dxa"/>
          </w:tcPr>
          <w:p w:rsidR="00D67368" w:rsidRPr="00BF76BE" w:rsidRDefault="00D67368" w:rsidP="00D67368">
            <w:pPr>
              <w:pStyle w:val="TableText"/>
            </w:pPr>
            <w:r w:rsidRPr="00BF76BE">
              <w:t>Naylor</w:t>
            </w:r>
            <w:r>
              <w:t xml:space="preserve"> et al.</w:t>
            </w:r>
            <w:r w:rsidRPr="00BF76BE">
              <w:t>, 2004</w:t>
            </w:r>
            <w:r w:rsidRPr="007F243B">
              <w:rPr>
                <w:rFonts w:ascii="Times New Roman" w:hAnsi="Times New Roman" w:cs="Times New Roman"/>
                <w:noProof/>
                <w:vertAlign w:val="superscript"/>
              </w:rPr>
              <w:t>30</w:t>
            </w:r>
          </w:p>
        </w:tc>
        <w:tc>
          <w:tcPr>
            <w:tcW w:w="1080" w:type="dxa"/>
            <w:noWrap/>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20.5%</w:t>
            </w:r>
          </w:p>
          <w:p w:rsidR="00D67368" w:rsidRPr="00BF76BE" w:rsidRDefault="00D67368" w:rsidP="00D67368">
            <w:pPr>
              <w:pStyle w:val="TableText"/>
            </w:pPr>
          </w:p>
          <w:p w:rsidR="00D67368" w:rsidRPr="00BF76BE" w:rsidRDefault="00D67368" w:rsidP="00D67368">
            <w:pPr>
              <w:pStyle w:val="TableText"/>
            </w:pPr>
            <w:r w:rsidRPr="00BF76BE">
              <w:t>1.4%</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Low</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Nucifora</w:t>
            </w:r>
            <w:proofErr w:type="spellEnd"/>
            <w:r>
              <w:t xml:space="preserve"> et al.</w:t>
            </w:r>
            <w:r w:rsidRPr="00BF76BE">
              <w:t>, 2006</w:t>
            </w:r>
            <w:r w:rsidRPr="007F243B">
              <w:rPr>
                <w:rFonts w:ascii="Times New Roman" w:hAnsi="Times New Roman" w:cs="Times New Roman"/>
                <w:noProof/>
                <w:vertAlign w:val="superscript"/>
              </w:rPr>
              <w:t>31</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 lost to follow-up; 11% died</w:t>
            </w:r>
          </w:p>
          <w:p w:rsidR="00D67368" w:rsidRPr="00BF76BE" w:rsidRDefault="00D67368" w:rsidP="00D67368">
            <w:pPr>
              <w:pStyle w:val="TableText"/>
            </w:pPr>
          </w:p>
          <w:p w:rsidR="00D67368" w:rsidRPr="00BF76BE" w:rsidRDefault="00D67368" w:rsidP="00D67368">
            <w:pPr>
              <w:pStyle w:val="TableText"/>
            </w:pPr>
            <w:r w:rsidRPr="00BF76BE">
              <w:t>0% NA for missing data; 6% for deaths</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r w:rsidRPr="00BF76BE">
              <w:t>.</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Oddone</w:t>
            </w:r>
            <w:proofErr w:type="spellEnd"/>
            <w:r>
              <w:t xml:space="preserve"> et al.</w:t>
            </w:r>
            <w:r w:rsidRPr="00BF76BE">
              <w:t>, 1999</w:t>
            </w:r>
            <w:r w:rsidRPr="007F243B">
              <w:rPr>
                <w:rFonts w:ascii="Times New Roman" w:hAnsi="Times New Roman" w:cs="Times New Roman"/>
                <w:noProof/>
                <w:vertAlign w:val="superscript"/>
              </w:rPr>
              <w:t>32</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NR/CND</w:t>
            </w:r>
          </w:p>
          <w:p w:rsidR="00D67368" w:rsidRPr="00BF76BE" w:rsidRDefault="00D67368" w:rsidP="00D67368">
            <w:pPr>
              <w:pStyle w:val="TableText"/>
            </w:pPr>
          </w:p>
          <w:p w:rsidR="00D67368" w:rsidRPr="00BF76BE" w:rsidRDefault="00D67368" w:rsidP="00D67368">
            <w:pPr>
              <w:pStyle w:val="TableText"/>
            </w:pPr>
            <w:r w:rsidRPr="00BF76BE">
              <w:t>NR</w:t>
            </w:r>
          </w:p>
        </w:tc>
        <w:tc>
          <w:tcPr>
            <w:tcW w:w="900" w:type="dxa"/>
          </w:tcPr>
          <w:p w:rsidR="00D67368" w:rsidRPr="00BF76BE" w:rsidRDefault="00D67368" w:rsidP="00D67368">
            <w:pPr>
              <w:pStyle w:val="TableText"/>
            </w:pPr>
            <w:r w:rsidRPr="00BF76BE">
              <w:t>Unclear or NR</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Unclear or NR</w:t>
            </w:r>
          </w:p>
          <w:p w:rsidR="00D67368" w:rsidRPr="00BF76BE" w:rsidRDefault="00D67368" w:rsidP="00D67368">
            <w:pPr>
              <w:pStyle w:val="TableText"/>
            </w:pPr>
          </w:p>
          <w:p w:rsidR="00D67368" w:rsidRPr="00BF76BE" w:rsidRDefault="00D67368" w:rsidP="00D67368">
            <w:pPr>
              <w:pStyle w:val="TableText"/>
            </w:pPr>
            <w:r w:rsidRPr="00BF76BE">
              <w:t>Unclear or NR</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proofErr w:type="spellStart"/>
            <w:r w:rsidRPr="00BF76BE">
              <w:t>Pekmezaris</w:t>
            </w:r>
            <w:proofErr w:type="spellEnd"/>
            <w:r>
              <w:t xml:space="preserve"> et al.,</w:t>
            </w:r>
            <w:r w:rsidRPr="00BF76BE">
              <w:t xml:space="preserve"> 2012</w:t>
            </w:r>
            <w:r w:rsidRPr="007F243B">
              <w:rPr>
                <w:rFonts w:ascii="Times New Roman" w:hAnsi="Times New Roman" w:cs="Times New Roman"/>
                <w:noProof/>
                <w:vertAlign w:val="superscript"/>
              </w:rPr>
              <w:t>33</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NA</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Pr="00BF76BE" w:rsidRDefault="00D67368" w:rsidP="00D67368">
            <w:pPr>
              <w:pStyle w:val="TableText"/>
            </w:pPr>
            <w:r w:rsidRPr="00BF76BE">
              <w:lastRenderedPageBreak/>
              <w:t>Pugh</w:t>
            </w:r>
            <w:r>
              <w:t xml:space="preserve"> et al.</w:t>
            </w:r>
            <w:r w:rsidRPr="00BF76BE">
              <w:t>, 2001</w:t>
            </w:r>
            <w:r w:rsidRPr="007F243B">
              <w:rPr>
                <w:rFonts w:ascii="Times New Roman" w:hAnsi="Times New Roman" w:cs="Times New Roman"/>
                <w:noProof/>
                <w:vertAlign w:val="superscript"/>
              </w:rPr>
              <w:t>34</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10% due to withdrew; 29% died or withdrew</w:t>
            </w:r>
          </w:p>
          <w:p w:rsidR="00D67368" w:rsidRPr="00BF76BE" w:rsidRDefault="00D67368" w:rsidP="00D67368">
            <w:pPr>
              <w:pStyle w:val="TableText"/>
            </w:pPr>
          </w:p>
          <w:p w:rsidR="00D67368" w:rsidRPr="00BF76BE" w:rsidRDefault="00D67368" w:rsidP="00D67368">
            <w:pPr>
              <w:pStyle w:val="TableText"/>
            </w:pPr>
            <w:r w:rsidRPr="00BF76BE">
              <w:t>1%</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Unclear or NR</w:t>
            </w:r>
          </w:p>
          <w:p w:rsidR="00D67368" w:rsidRPr="00BF76BE" w:rsidRDefault="00D67368" w:rsidP="00D67368">
            <w:pPr>
              <w:pStyle w:val="TableText"/>
            </w:pPr>
          </w:p>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Unclear</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High</w:t>
            </w:r>
          </w:p>
          <w:p w:rsidR="00D67368" w:rsidRPr="00BF76BE" w:rsidRDefault="00D67368" w:rsidP="00D67368">
            <w:pPr>
              <w:pStyle w:val="TableText"/>
            </w:pPr>
          </w:p>
          <w:p w:rsidR="00D67368" w:rsidRPr="00BF76BE" w:rsidRDefault="00D67368" w:rsidP="00D67368">
            <w:pPr>
              <w:pStyle w:val="TableText"/>
            </w:pPr>
            <w:r w:rsidRPr="00BF76BE">
              <w:t>Patients who withdrew or who died appear to be excluded from the readmission/ utilization analysis. Unclear if 11 patients who died had also experienced a readmission or ER visit during study. NR whether those who withdrew were contacted and asked about health care utilization. Randomization and allocation concealment not described.</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Rainville</w:t>
            </w:r>
            <w:proofErr w:type="spellEnd"/>
            <w:r>
              <w:t xml:space="preserve"> et al.</w:t>
            </w:r>
            <w:r w:rsidRPr="00BF76BE">
              <w:t>, 1999</w:t>
            </w:r>
            <w:r w:rsidRPr="007F243B">
              <w:rPr>
                <w:rFonts w:ascii="Times New Roman" w:hAnsi="Times New Roman" w:cs="Times New Roman"/>
                <w:noProof/>
                <w:vertAlign w:val="superscript"/>
              </w:rPr>
              <w:t>35</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14% died; no loss to follow-up reported after randomization</w:t>
            </w:r>
          </w:p>
          <w:p w:rsidR="00D67368" w:rsidRPr="00BF76BE" w:rsidRDefault="00D67368" w:rsidP="00D67368">
            <w:pPr>
              <w:pStyle w:val="TableText"/>
            </w:pPr>
          </w:p>
          <w:p w:rsidR="00D67368" w:rsidRPr="00BF76BE" w:rsidRDefault="00D67368" w:rsidP="00D67368">
            <w:pPr>
              <w:pStyle w:val="TableText"/>
            </w:pPr>
            <w:r w:rsidRPr="00BF76BE">
              <w:t>0% for loss to follow-up; 17% for death</w:t>
            </w:r>
          </w:p>
        </w:tc>
        <w:tc>
          <w:tcPr>
            <w:tcW w:w="900" w:type="dxa"/>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Unclear or NR</w:t>
            </w:r>
          </w:p>
          <w:p w:rsidR="00D67368" w:rsidRPr="00BF76BE" w:rsidRDefault="00D67368" w:rsidP="00D67368">
            <w:pPr>
              <w:pStyle w:val="TableText"/>
            </w:pPr>
          </w:p>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r w:rsidRPr="00BF76BE">
              <w:t>Rich</w:t>
            </w:r>
            <w:r>
              <w:t xml:space="preserve"> et al.</w:t>
            </w:r>
            <w:r w:rsidRPr="00BF76BE">
              <w:t>, 1993</w:t>
            </w:r>
            <w:r w:rsidRPr="007F243B">
              <w:rPr>
                <w:rFonts w:ascii="Times New Roman" w:hAnsi="Times New Roman" w:cs="Times New Roman"/>
                <w:noProof/>
                <w:vertAlign w:val="superscript"/>
              </w:rPr>
              <w:t>36</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Unclear or NR</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NA</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Pr="00BF76BE" w:rsidRDefault="00D67368" w:rsidP="00D67368">
            <w:pPr>
              <w:pStyle w:val="TableText"/>
            </w:pPr>
            <w:r w:rsidRPr="00BF76BE">
              <w:lastRenderedPageBreak/>
              <w:t>Rich</w:t>
            </w:r>
            <w:r>
              <w:t xml:space="preserve"> et al.</w:t>
            </w:r>
            <w:r w:rsidRPr="00BF76BE">
              <w:t>, 1995</w:t>
            </w:r>
            <w:r w:rsidRPr="007F243B">
              <w:rPr>
                <w:rFonts w:ascii="Times New Roman" w:hAnsi="Times New Roman" w:cs="Times New Roman"/>
                <w:noProof/>
                <w:vertAlign w:val="superscript"/>
              </w:rPr>
              <w:t>37</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Unclear</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proofErr w:type="spellStart"/>
            <w:r w:rsidRPr="00BF76BE">
              <w:t>Riegel</w:t>
            </w:r>
            <w:proofErr w:type="spellEnd"/>
            <w:r>
              <w:t xml:space="preserve"> et al.,</w:t>
            </w:r>
            <w:r w:rsidRPr="00BF76BE">
              <w:t xml:space="preserve"> 2002</w:t>
            </w:r>
            <w:r w:rsidRPr="007F243B">
              <w:rPr>
                <w:rFonts w:ascii="Times New Roman" w:hAnsi="Times New Roman" w:cs="Times New Roman"/>
                <w:noProof/>
                <w:vertAlign w:val="superscript"/>
              </w:rPr>
              <w:t>38</w:t>
            </w:r>
          </w:p>
        </w:tc>
        <w:tc>
          <w:tcPr>
            <w:tcW w:w="1080" w:type="dxa"/>
            <w:noWrap/>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 for outcomes of interest (acute care resources)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Unclear or NR</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NA</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proofErr w:type="spellStart"/>
            <w:r w:rsidRPr="00BF76BE">
              <w:lastRenderedPageBreak/>
              <w:t>Riegel</w:t>
            </w:r>
            <w:proofErr w:type="spellEnd"/>
            <w:r>
              <w:t xml:space="preserve"> et al.</w:t>
            </w:r>
            <w:r w:rsidRPr="00BF76BE">
              <w:t>, 2004</w:t>
            </w:r>
            <w:r w:rsidRPr="007F243B">
              <w:rPr>
                <w:rFonts w:ascii="Times New Roman" w:hAnsi="Times New Roman" w:cs="Times New Roman"/>
                <w:noProof/>
                <w:vertAlign w:val="superscript"/>
              </w:rPr>
              <w:t>39</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31.8%</w:t>
            </w:r>
          </w:p>
          <w:p w:rsidR="00D67368" w:rsidRPr="00BF76BE" w:rsidRDefault="00D67368" w:rsidP="00D67368">
            <w:pPr>
              <w:pStyle w:val="TableText"/>
            </w:pPr>
          </w:p>
          <w:p w:rsidR="00D67368" w:rsidRPr="00BF76BE" w:rsidRDefault="00D67368" w:rsidP="00D67368">
            <w:pPr>
              <w:pStyle w:val="TableText"/>
            </w:pPr>
            <w:r w:rsidRPr="00BF76BE">
              <w:t>1.5%</w:t>
            </w:r>
          </w:p>
        </w:tc>
        <w:tc>
          <w:tcPr>
            <w:tcW w:w="900" w:type="dxa"/>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 for utilization outcome; no for self-care/social outcomes (those were completer's analysis)</w:t>
            </w:r>
          </w:p>
          <w:p w:rsidR="00D67368" w:rsidRPr="00BF76BE" w:rsidRDefault="00D67368" w:rsidP="00D67368">
            <w:pPr>
              <w:pStyle w:val="TableText"/>
            </w:pPr>
          </w:p>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NR/CND for mortality; Yes for self-care measures</w:t>
            </w:r>
          </w:p>
        </w:tc>
        <w:tc>
          <w:tcPr>
            <w:tcW w:w="2059" w:type="dxa"/>
          </w:tcPr>
          <w:p w:rsidR="00D67368" w:rsidRPr="00BF76BE" w:rsidRDefault="00D67368" w:rsidP="00D67368">
            <w:pPr>
              <w:pStyle w:val="TableText"/>
            </w:pPr>
            <w:r w:rsidRPr="00BF76BE">
              <w:t>High</w:t>
            </w:r>
          </w:p>
          <w:p w:rsidR="00D67368" w:rsidRPr="00BF76BE" w:rsidRDefault="00D67368" w:rsidP="00D67368">
            <w:pPr>
              <w:pStyle w:val="TableText"/>
            </w:pPr>
          </w:p>
          <w:p w:rsidR="00D67368" w:rsidRPr="00BF76BE" w:rsidRDefault="00D67368" w:rsidP="00D67368">
            <w:pPr>
              <w:pStyle w:val="TableText"/>
            </w:pPr>
            <w:r w:rsidRPr="00BF76BE">
              <w:t xml:space="preserve">High risk of selection bias, measurement bias, and confounding. Over 30% of sample dropped out, high attrition; methods of handling missing data NR for utilization outcomes. Unclear how utilization outcomes were </w:t>
            </w:r>
            <w:proofErr w:type="gramStart"/>
            <w:r w:rsidRPr="00BF76BE">
              <w:t>ascertained,</w:t>
            </w:r>
            <w:proofErr w:type="gramEnd"/>
            <w:r w:rsidRPr="00BF76BE">
              <w:t xml:space="preserve"> and unclear how complete data was for utilization outcomes (focus of study on self-care and social support outcomes). Masking of outcome assessors NR. Several baseline differences between groups: fewer married in intervention group, fewer retired, fewer with stage 3/4 NYHA when collapsing those groups (57% vs. 69%), fewer with COPD and history of MI.</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Riegel</w:t>
            </w:r>
            <w:proofErr w:type="spellEnd"/>
            <w:r>
              <w:t xml:space="preserve"> et al.</w:t>
            </w:r>
            <w:r w:rsidRPr="00BF76BE">
              <w:t>, 2006</w:t>
            </w:r>
            <w:r w:rsidRPr="007F243B">
              <w:rPr>
                <w:rFonts w:ascii="Times New Roman" w:hAnsi="Times New Roman" w:cs="Times New Roman"/>
                <w:noProof/>
                <w:vertAlign w:val="superscript"/>
              </w:rPr>
              <w:t>40</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0.0%</w:t>
            </w:r>
          </w:p>
          <w:p w:rsidR="00D67368" w:rsidRPr="00BF76BE" w:rsidRDefault="00D67368" w:rsidP="00D67368">
            <w:pPr>
              <w:pStyle w:val="TableText"/>
            </w:pPr>
          </w:p>
          <w:p w:rsidR="00D67368" w:rsidRPr="00BF76BE" w:rsidRDefault="00D67368" w:rsidP="00D67368">
            <w:pPr>
              <w:pStyle w:val="TableText"/>
            </w:pPr>
            <w:r w:rsidRPr="00BF76BE">
              <w:t>0.0%</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r w:rsidRPr="00BF76BE">
              <w:lastRenderedPageBreak/>
              <w:t>Schwarz</w:t>
            </w:r>
            <w:r>
              <w:t xml:space="preserve"> et al.</w:t>
            </w:r>
            <w:r w:rsidRPr="00BF76BE">
              <w:t>,</w:t>
            </w:r>
            <w:r>
              <w:t xml:space="preserve"> </w:t>
            </w:r>
            <w:r w:rsidRPr="00BF76BE">
              <w:t>2008</w:t>
            </w:r>
            <w:r w:rsidRPr="007F243B">
              <w:rPr>
                <w:rFonts w:ascii="Times New Roman" w:hAnsi="Times New Roman" w:cs="Times New Roman"/>
                <w:noProof/>
                <w:vertAlign w:val="superscript"/>
              </w:rPr>
              <w:t>41</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21% including death, nursing home and withdrawal from study; appears that mortality and utilization outcomes were available for full sample.</w:t>
            </w:r>
          </w:p>
          <w:p w:rsidR="00D67368" w:rsidRPr="00BF76BE" w:rsidRDefault="00D67368" w:rsidP="00D67368">
            <w:pPr>
              <w:pStyle w:val="TableText"/>
            </w:pPr>
          </w:p>
          <w:p w:rsidR="00D67368" w:rsidRPr="00BF76BE" w:rsidRDefault="00D67368" w:rsidP="00D67368">
            <w:pPr>
              <w:pStyle w:val="TableText"/>
            </w:pPr>
            <w:r w:rsidRPr="00BF76BE">
              <w:t>8%</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proofErr w:type="spellStart"/>
            <w:r w:rsidRPr="00BF76BE">
              <w:lastRenderedPageBreak/>
              <w:t>Sethares</w:t>
            </w:r>
            <w:proofErr w:type="spellEnd"/>
            <w:r>
              <w:t xml:space="preserve"> et al.</w:t>
            </w:r>
            <w:r w:rsidRPr="00BF76BE">
              <w:t>, 2004</w:t>
            </w:r>
            <w:r w:rsidRPr="007F243B">
              <w:rPr>
                <w:rFonts w:ascii="Times New Roman" w:hAnsi="Times New Roman" w:cs="Times New Roman"/>
                <w:noProof/>
                <w:vertAlign w:val="superscript"/>
              </w:rPr>
              <w:t>42</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 xml:space="preserve">Mixed (yes for </w:t>
            </w:r>
            <w:proofErr w:type="spellStart"/>
            <w:r w:rsidRPr="00BF76BE">
              <w:t>readmis</w:t>
            </w:r>
            <w:r>
              <w:t>-</w:t>
            </w:r>
            <w:r w:rsidRPr="00BF76BE">
              <w:t>sion</w:t>
            </w:r>
            <w:proofErr w:type="spellEnd"/>
            <w:r w:rsidRPr="00BF76BE">
              <w:t xml:space="preserve">, no for </w:t>
            </w:r>
            <w:proofErr w:type="spellStart"/>
            <w:r w:rsidRPr="00BF76BE">
              <w:t>QoL</w:t>
            </w:r>
            <w:proofErr w:type="spellEnd"/>
            <w:r w:rsidRPr="00BF76BE">
              <w:t xml:space="preserve"> for the inter</w:t>
            </w:r>
            <w:r>
              <w:t>-</w:t>
            </w:r>
            <w:proofErr w:type="spellStart"/>
            <w:r w:rsidRPr="00BF76BE">
              <w:t>vention</w:t>
            </w:r>
            <w:proofErr w:type="spellEnd"/>
            <w:r w:rsidRPr="00BF76BE">
              <w:t xml:space="preserve"> group)</w:t>
            </w:r>
          </w:p>
        </w:tc>
        <w:tc>
          <w:tcPr>
            <w:tcW w:w="1260" w:type="dxa"/>
          </w:tcPr>
          <w:p w:rsidR="00D67368" w:rsidRPr="00BF76BE" w:rsidRDefault="00D67368" w:rsidP="00D67368">
            <w:pPr>
              <w:pStyle w:val="TableText"/>
            </w:pPr>
            <w:r w:rsidRPr="00BF76BE">
              <w:t>20.5%</w:t>
            </w:r>
          </w:p>
          <w:p w:rsidR="00D67368" w:rsidRPr="00BF76BE" w:rsidRDefault="00D67368" w:rsidP="00D67368">
            <w:pPr>
              <w:pStyle w:val="TableText"/>
            </w:pPr>
          </w:p>
          <w:p w:rsidR="00D67368" w:rsidRPr="00BF76BE" w:rsidRDefault="00D67368" w:rsidP="00D67368">
            <w:pPr>
              <w:pStyle w:val="TableText"/>
            </w:pPr>
            <w:r w:rsidRPr="00BF76BE">
              <w:t>CND</w:t>
            </w:r>
          </w:p>
        </w:tc>
        <w:tc>
          <w:tcPr>
            <w:tcW w:w="900" w:type="dxa"/>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No</w:t>
            </w:r>
          </w:p>
          <w:p w:rsidR="00D67368" w:rsidRPr="00BF76BE" w:rsidRDefault="00D67368" w:rsidP="00D67368">
            <w:pPr>
              <w:pStyle w:val="TableText"/>
            </w:pPr>
          </w:p>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High</w:t>
            </w:r>
          </w:p>
          <w:p w:rsidR="00D67368" w:rsidRPr="00BF76BE" w:rsidRDefault="00D67368" w:rsidP="00D67368">
            <w:pPr>
              <w:pStyle w:val="TableText"/>
            </w:pPr>
          </w:p>
          <w:p w:rsidR="00D67368" w:rsidRPr="00BF76BE" w:rsidRDefault="00D67368" w:rsidP="00D67368">
            <w:pPr>
              <w:pStyle w:val="TableText"/>
            </w:pPr>
            <w:r w:rsidRPr="00BF76BE">
              <w:t xml:space="preserve">High risk of selection bias and confounding. Completers analysis, 18/88 post-randomization exclusions due to death (10) or missing data (8); analysis only included 70 subjects who did not die and not lost to follow-up. Unclear why more detailed assessments of the 10 deaths not included in analysis. No reporting of which groups the 18 post-randomization exclusions </w:t>
            </w:r>
            <w:proofErr w:type="gramStart"/>
            <w:r w:rsidRPr="00BF76BE">
              <w:t>were</w:t>
            </w:r>
            <w:proofErr w:type="gramEnd"/>
            <w:r w:rsidRPr="00BF76BE">
              <w:t xml:space="preserve"> in to allow determination of differential attrition. The </w:t>
            </w:r>
          </w:p>
        </w:tc>
      </w:tr>
      <w:tr w:rsidR="00D67368" w:rsidRPr="00D975DD" w:rsidTr="00D67368">
        <w:trPr>
          <w:cantSplit/>
        </w:trPr>
        <w:tc>
          <w:tcPr>
            <w:tcW w:w="1109" w:type="dxa"/>
          </w:tcPr>
          <w:p w:rsidR="00D67368" w:rsidRPr="00F43877" w:rsidRDefault="00D67368" w:rsidP="00D67368">
            <w:pPr>
              <w:pStyle w:val="TableText"/>
            </w:pPr>
            <w:proofErr w:type="spellStart"/>
            <w:r w:rsidRPr="00BF76BE">
              <w:lastRenderedPageBreak/>
              <w:t>Sethares</w:t>
            </w:r>
            <w:proofErr w:type="spellEnd"/>
            <w:r>
              <w:t xml:space="preserve"> et al.</w:t>
            </w:r>
            <w:r w:rsidRPr="00BF76BE">
              <w:t>, 2004</w:t>
            </w:r>
            <w:r w:rsidRPr="007F243B">
              <w:rPr>
                <w:rFonts w:ascii="Times New Roman" w:hAnsi="Times New Roman" w:cs="Times New Roman"/>
                <w:noProof/>
                <w:vertAlign w:val="superscript"/>
              </w:rPr>
              <w:t>42</w:t>
            </w:r>
            <w:r>
              <w:rPr>
                <w:rFonts w:ascii="Times New Roman" w:hAnsi="Times New Roman" w:cs="Times New Roman"/>
                <w:noProof/>
                <w:vertAlign w:val="superscript"/>
              </w:rPr>
              <w:t xml:space="preserve"> </w:t>
            </w:r>
            <w:r>
              <w:rPr>
                <w:rFonts w:ascii="Times New Roman" w:hAnsi="Times New Roman" w:cs="Times New Roman"/>
                <w:noProof/>
              </w:rPr>
              <w:t>(continued)</w:t>
            </w:r>
          </w:p>
        </w:tc>
        <w:tc>
          <w:tcPr>
            <w:tcW w:w="1080" w:type="dxa"/>
            <w:noWrap/>
          </w:tcPr>
          <w:p w:rsidR="00D67368" w:rsidRPr="00BF76BE" w:rsidRDefault="00D67368" w:rsidP="00D67368">
            <w:pPr>
              <w:pStyle w:val="TableText"/>
            </w:pPr>
          </w:p>
        </w:tc>
        <w:tc>
          <w:tcPr>
            <w:tcW w:w="900" w:type="dxa"/>
            <w:noWrap/>
          </w:tcPr>
          <w:p w:rsidR="00D67368" w:rsidRPr="00BF76BE" w:rsidRDefault="00D67368" w:rsidP="00D67368">
            <w:pPr>
              <w:pStyle w:val="TableText"/>
            </w:pPr>
          </w:p>
        </w:tc>
        <w:tc>
          <w:tcPr>
            <w:tcW w:w="990" w:type="dxa"/>
          </w:tcPr>
          <w:p w:rsidR="00D67368" w:rsidRPr="00BF76BE" w:rsidRDefault="00D67368" w:rsidP="00D67368">
            <w:pPr>
              <w:pStyle w:val="TableText"/>
            </w:pPr>
          </w:p>
        </w:tc>
        <w:tc>
          <w:tcPr>
            <w:tcW w:w="900" w:type="dxa"/>
          </w:tcPr>
          <w:p w:rsidR="00D67368" w:rsidRPr="00BF76BE" w:rsidRDefault="00D67368" w:rsidP="00D67368">
            <w:pPr>
              <w:pStyle w:val="TableText"/>
            </w:pPr>
          </w:p>
        </w:tc>
        <w:tc>
          <w:tcPr>
            <w:tcW w:w="1260" w:type="dxa"/>
          </w:tcPr>
          <w:p w:rsidR="00D67368" w:rsidRPr="00BF76BE" w:rsidRDefault="00D67368" w:rsidP="00D67368">
            <w:pPr>
              <w:pStyle w:val="TableText"/>
            </w:pPr>
          </w:p>
        </w:tc>
        <w:tc>
          <w:tcPr>
            <w:tcW w:w="900" w:type="dxa"/>
          </w:tcPr>
          <w:p w:rsidR="00D67368" w:rsidRPr="00BF76BE" w:rsidRDefault="00D67368" w:rsidP="00D67368">
            <w:pPr>
              <w:pStyle w:val="TableText"/>
            </w:pPr>
          </w:p>
        </w:tc>
        <w:tc>
          <w:tcPr>
            <w:tcW w:w="900" w:type="dxa"/>
            <w:noWrap/>
          </w:tcPr>
          <w:p w:rsidR="00D67368" w:rsidRPr="00BF76BE" w:rsidRDefault="00D67368" w:rsidP="00D67368">
            <w:pPr>
              <w:pStyle w:val="TableText"/>
            </w:pPr>
          </w:p>
        </w:tc>
        <w:tc>
          <w:tcPr>
            <w:tcW w:w="1091" w:type="dxa"/>
            <w:noWrap/>
          </w:tcPr>
          <w:p w:rsidR="00D67368" w:rsidRPr="00BF76BE" w:rsidRDefault="00D67368" w:rsidP="00D67368">
            <w:pPr>
              <w:pStyle w:val="TableText"/>
            </w:pPr>
          </w:p>
        </w:tc>
        <w:tc>
          <w:tcPr>
            <w:tcW w:w="900" w:type="dxa"/>
          </w:tcPr>
          <w:p w:rsidR="00D67368" w:rsidRPr="00BF76BE" w:rsidRDefault="00D67368" w:rsidP="00D67368">
            <w:pPr>
              <w:pStyle w:val="TableText"/>
            </w:pPr>
          </w:p>
        </w:tc>
        <w:tc>
          <w:tcPr>
            <w:tcW w:w="900" w:type="dxa"/>
          </w:tcPr>
          <w:p w:rsidR="00D67368" w:rsidRPr="00BF76BE" w:rsidRDefault="00D67368" w:rsidP="00D67368">
            <w:pPr>
              <w:pStyle w:val="TableText"/>
            </w:pPr>
          </w:p>
        </w:tc>
        <w:tc>
          <w:tcPr>
            <w:tcW w:w="2059" w:type="dxa"/>
          </w:tcPr>
          <w:p w:rsidR="00D67368" w:rsidRPr="00BF76BE" w:rsidRDefault="00D67368" w:rsidP="00D67368">
            <w:pPr>
              <w:pStyle w:val="TableText"/>
            </w:pPr>
            <w:r w:rsidRPr="00BF76BE">
              <w:t>10 deaths, if adequately assessed for readmission and attributed to appropriate study groups, could significantly change results, since only 6 people readmitted in intervention group and 12 in control group. Inadequate handling of missing data; methods of randomization and allocation concealment NR</w:t>
            </w:r>
          </w:p>
        </w:tc>
      </w:tr>
      <w:tr w:rsidR="00D67368" w:rsidRPr="00D975DD" w:rsidTr="00D67368">
        <w:trPr>
          <w:cantSplit/>
        </w:trPr>
        <w:tc>
          <w:tcPr>
            <w:tcW w:w="1109" w:type="dxa"/>
          </w:tcPr>
          <w:p w:rsidR="00D67368" w:rsidRPr="00BF76BE" w:rsidRDefault="00D67368" w:rsidP="00D67368">
            <w:pPr>
              <w:pStyle w:val="TableText"/>
            </w:pPr>
            <w:r w:rsidRPr="00BF76BE">
              <w:t>Stewart</w:t>
            </w:r>
            <w:r>
              <w:t xml:space="preserve"> et al.</w:t>
            </w:r>
            <w:r w:rsidRPr="00BF76BE">
              <w:t>, 1998</w:t>
            </w:r>
            <w:r w:rsidRPr="007F243B">
              <w:rPr>
                <w:rFonts w:ascii="Times New Roman" w:hAnsi="Times New Roman" w:cs="Times New Roman"/>
                <w:noProof/>
                <w:vertAlign w:val="superscript"/>
              </w:rPr>
              <w:t>43</w:t>
            </w:r>
          </w:p>
        </w:tc>
        <w:tc>
          <w:tcPr>
            <w:tcW w:w="1080" w:type="dxa"/>
            <w:noWrap/>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NR/CND; appears to be mortality and utilization outcomes on all participants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Unclear or NR</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Pr="00BF76BE" w:rsidRDefault="00D67368" w:rsidP="00D67368">
            <w:pPr>
              <w:pStyle w:val="TableText"/>
            </w:pPr>
            <w:r w:rsidRPr="00BF76BE">
              <w:lastRenderedPageBreak/>
              <w:t>Stewart</w:t>
            </w:r>
            <w:r>
              <w:t xml:space="preserve"> et al.</w:t>
            </w:r>
            <w:r w:rsidRPr="00BF76BE">
              <w:t>, 1999</w:t>
            </w:r>
            <w:r w:rsidRPr="007F243B">
              <w:rPr>
                <w:rFonts w:ascii="Times New Roman" w:hAnsi="Times New Roman" w:cs="Times New Roman"/>
                <w:noProof/>
                <w:vertAlign w:val="superscript"/>
              </w:rPr>
              <w:t>44</w:t>
            </w:r>
          </w:p>
        </w:tc>
        <w:tc>
          <w:tcPr>
            <w:tcW w:w="108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NR/CND; 10% of the intervention group withdrew and unclear how missing data handled</w:t>
            </w:r>
          </w:p>
          <w:p w:rsidR="00D67368" w:rsidRPr="00BF76BE" w:rsidRDefault="00D67368" w:rsidP="00D67368">
            <w:pPr>
              <w:pStyle w:val="TableText"/>
            </w:pPr>
          </w:p>
          <w:p w:rsidR="00D67368" w:rsidRPr="00BF76BE" w:rsidRDefault="00D67368" w:rsidP="00D67368">
            <w:pPr>
              <w:pStyle w:val="TableText"/>
            </w:pPr>
            <w:r w:rsidRPr="00BF76BE">
              <w:t>10% of intervention group withdrew; attrition NR for usual care group</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Unclear</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Pr>
        <w:tc>
          <w:tcPr>
            <w:tcW w:w="1109" w:type="dxa"/>
          </w:tcPr>
          <w:p w:rsidR="00D67368" w:rsidRPr="00BF76BE" w:rsidRDefault="00D67368" w:rsidP="00D67368">
            <w:pPr>
              <w:pStyle w:val="TableText"/>
            </w:pPr>
            <w:r w:rsidRPr="00BF76BE">
              <w:t>Stromberg</w:t>
            </w:r>
            <w:r>
              <w:t xml:space="preserve"> et al.</w:t>
            </w:r>
            <w:r w:rsidRPr="00BF76BE">
              <w:t>, 2003</w:t>
            </w:r>
            <w:r w:rsidRPr="007F243B">
              <w:rPr>
                <w:rFonts w:ascii="Times New Roman" w:hAnsi="Times New Roman" w:cs="Times New Roman"/>
                <w:noProof/>
                <w:vertAlign w:val="superscript"/>
              </w:rPr>
              <w:t>45</w:t>
            </w:r>
          </w:p>
        </w:tc>
        <w:tc>
          <w:tcPr>
            <w:tcW w:w="108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 xml:space="preserve">Yes, for most (but more with HTN in </w:t>
            </w:r>
            <w:r>
              <w:t>intervene-</w:t>
            </w:r>
            <w:proofErr w:type="spellStart"/>
            <w:r w:rsidRPr="00BF76BE">
              <w:t>tion</w:t>
            </w:r>
            <w:proofErr w:type="spellEnd"/>
            <w:r w:rsidRPr="00BF76BE">
              <w:t xml:space="preserve"> group and fewer with DM)</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0% lost to follow-up; 15% died before 3 months</w:t>
            </w:r>
          </w:p>
          <w:p w:rsidR="00D67368" w:rsidRPr="00BF76BE" w:rsidRDefault="00D67368" w:rsidP="00D67368">
            <w:pPr>
              <w:pStyle w:val="TableText"/>
            </w:pPr>
          </w:p>
          <w:p w:rsidR="00D67368" w:rsidRPr="00BF76BE" w:rsidRDefault="00D67368" w:rsidP="00D67368">
            <w:pPr>
              <w:pStyle w:val="TableText"/>
            </w:pPr>
            <w:r w:rsidRPr="00BF76BE">
              <w:t>0% lost to follow-up; 18% for deaths by 3 months</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Low</w:t>
            </w:r>
          </w:p>
          <w:p w:rsidR="00D67368" w:rsidRPr="00BF76BE" w:rsidRDefault="00D67368" w:rsidP="00D67368">
            <w:pPr>
              <w:pStyle w:val="TableText"/>
            </w:pPr>
          </w:p>
          <w:p w:rsidR="00D67368" w:rsidRPr="00BF76BE" w:rsidRDefault="00D67368" w:rsidP="00D67368">
            <w:pPr>
              <w:pStyle w:val="TableText"/>
            </w:pPr>
            <w:r w:rsidRPr="00BF76BE">
              <w:t>Patients who died were censored in analysis.</w:t>
            </w:r>
          </w:p>
        </w:tc>
      </w:tr>
      <w:tr w:rsidR="00D67368" w:rsidRPr="00D975DD" w:rsidTr="00D67368">
        <w:trPr>
          <w:cantSplit/>
        </w:trPr>
        <w:tc>
          <w:tcPr>
            <w:tcW w:w="1109" w:type="dxa"/>
          </w:tcPr>
          <w:p w:rsidR="00D67368" w:rsidRPr="00BF76BE" w:rsidRDefault="00D67368" w:rsidP="00D67368">
            <w:pPr>
              <w:pStyle w:val="TableText"/>
            </w:pPr>
            <w:r w:rsidRPr="00BF76BE">
              <w:lastRenderedPageBreak/>
              <w:t>Thompson</w:t>
            </w:r>
            <w:r>
              <w:t xml:space="preserve"> et al.</w:t>
            </w:r>
            <w:r w:rsidRPr="00BF76BE">
              <w:t>, 2005</w:t>
            </w:r>
            <w:r w:rsidRPr="007F243B">
              <w:rPr>
                <w:rFonts w:ascii="Times New Roman" w:hAnsi="Times New Roman" w:cs="Times New Roman"/>
                <w:noProof/>
                <w:vertAlign w:val="superscript"/>
              </w:rPr>
              <w:t>46</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Yes</w:t>
            </w:r>
          </w:p>
        </w:tc>
        <w:tc>
          <w:tcPr>
            <w:tcW w:w="1260" w:type="dxa"/>
          </w:tcPr>
          <w:p w:rsidR="00D67368" w:rsidRPr="00BF76BE" w:rsidRDefault="00D67368" w:rsidP="00D67368">
            <w:pPr>
              <w:pStyle w:val="TableText"/>
            </w:pPr>
            <w:r w:rsidRPr="00BF76BE">
              <w:t xml:space="preserve">0% for utilization outcomes; 57% for </w:t>
            </w:r>
            <w:proofErr w:type="spellStart"/>
            <w:r w:rsidRPr="00BF76BE">
              <w:t>QoL</w:t>
            </w:r>
            <w:proofErr w:type="spellEnd"/>
          </w:p>
          <w:p w:rsidR="00D67368" w:rsidRPr="00BF76BE" w:rsidRDefault="00D67368" w:rsidP="00D67368">
            <w:pPr>
              <w:pStyle w:val="TableText"/>
            </w:pPr>
          </w:p>
          <w:p w:rsidR="00D67368" w:rsidRPr="00BF76BE" w:rsidRDefault="00D67368" w:rsidP="00D67368">
            <w:pPr>
              <w:pStyle w:val="TableText"/>
            </w:pPr>
            <w:r w:rsidRPr="00BF76BE">
              <w:t xml:space="preserve">0% for utilization outcomes; NR/CND for </w:t>
            </w:r>
            <w:proofErr w:type="spellStart"/>
            <w:r w:rsidRPr="00BF76BE">
              <w:t>QoL</w:t>
            </w:r>
            <w:proofErr w:type="spellEnd"/>
          </w:p>
        </w:tc>
        <w:tc>
          <w:tcPr>
            <w:tcW w:w="900" w:type="dxa"/>
          </w:tcPr>
          <w:p w:rsidR="00D67368" w:rsidRPr="00BF76BE" w:rsidRDefault="00D67368" w:rsidP="00D67368">
            <w:pPr>
              <w:pStyle w:val="TableText"/>
            </w:pPr>
            <w:r w:rsidRPr="00BF76BE">
              <w:t>Yes (</w:t>
            </w:r>
            <w:proofErr w:type="spellStart"/>
            <w:r w:rsidRPr="00BF76BE">
              <w:t>QoL</w:t>
            </w:r>
            <w:proofErr w:type="spellEnd"/>
            <w:r w:rsidRPr="00BF76BE">
              <w:t xml:space="preserve"> only)</w:t>
            </w:r>
          </w:p>
        </w:tc>
        <w:tc>
          <w:tcPr>
            <w:tcW w:w="900" w:type="dxa"/>
            <w:noWrap/>
          </w:tcPr>
          <w:p w:rsidR="00D67368" w:rsidRPr="00BF76BE" w:rsidRDefault="00D67368" w:rsidP="00D67368">
            <w:pPr>
              <w:pStyle w:val="TableText"/>
            </w:pPr>
            <w:r w:rsidRPr="00BF76BE">
              <w:t>Yes</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 xml:space="preserve">No (no for </w:t>
            </w:r>
            <w:proofErr w:type="spellStart"/>
            <w:r w:rsidRPr="00BF76BE">
              <w:t>QoL</w:t>
            </w:r>
            <w:proofErr w:type="spellEnd"/>
            <w:r w:rsidRPr="00BF76BE">
              <w:t xml:space="preserve"> only)</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High</w:t>
            </w:r>
          </w:p>
          <w:p w:rsidR="00D67368" w:rsidRPr="00BF76BE" w:rsidRDefault="00D67368" w:rsidP="00D67368">
            <w:pPr>
              <w:pStyle w:val="TableText"/>
            </w:pPr>
          </w:p>
          <w:p w:rsidR="00D67368" w:rsidRPr="00BF76BE" w:rsidRDefault="00D67368" w:rsidP="00D67368">
            <w:pPr>
              <w:pStyle w:val="TableText"/>
            </w:pPr>
            <w:r w:rsidRPr="00BF76BE">
              <w:t xml:space="preserve">Study used cluster randomization according to treating GP, resulting in important baseline differences between groups; analysis done at patient level. Higher proportion of diabetes (27% vs. 14%) and lower proportion of medication use for ACEIs, BBs, Aspirin, and warfarin at time of hospital discharge for control group than intervention group. Thus, control group at higher risk of readmissions and death than intervention group. </w:t>
            </w:r>
            <w:proofErr w:type="spellStart"/>
            <w:r w:rsidRPr="00BF76BE">
              <w:t>QoL</w:t>
            </w:r>
            <w:proofErr w:type="spellEnd"/>
            <w:r w:rsidRPr="00BF76BE">
              <w:t xml:space="preserve"> outcome data have high risk of bias due to very high attrition, with fewer than half of subjects returning questionnaire.</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lastRenderedPageBreak/>
              <w:t>Triller</w:t>
            </w:r>
            <w:proofErr w:type="spellEnd"/>
            <w:r>
              <w:t xml:space="preserve"> et al.</w:t>
            </w:r>
            <w:r w:rsidRPr="00BF76BE">
              <w:t>, 2008</w:t>
            </w:r>
            <w:r w:rsidRPr="007F243B">
              <w:rPr>
                <w:rFonts w:ascii="Times New Roman" w:hAnsi="Times New Roman" w:cs="Times New Roman"/>
                <w:noProof/>
                <w:vertAlign w:val="superscript"/>
              </w:rPr>
              <w:t>47</w:t>
            </w:r>
          </w:p>
        </w:tc>
        <w:tc>
          <w:tcPr>
            <w:tcW w:w="1080" w:type="dxa"/>
            <w:noWrap/>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0%</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No</w:t>
            </w:r>
          </w:p>
        </w:tc>
        <w:tc>
          <w:tcPr>
            <w:tcW w:w="1091" w:type="dxa"/>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 xml:space="preserve">Unclear </w:t>
            </w:r>
          </w:p>
        </w:tc>
        <w:tc>
          <w:tcPr>
            <w:tcW w:w="900" w:type="dxa"/>
          </w:tcPr>
          <w:p w:rsidR="00D67368" w:rsidRPr="00BF76BE" w:rsidRDefault="00D67368" w:rsidP="00D67368">
            <w:pPr>
              <w:pStyle w:val="TableText"/>
            </w:pPr>
            <w:r w:rsidRPr="00BF76BE">
              <w:t>No</w:t>
            </w:r>
          </w:p>
        </w:tc>
        <w:tc>
          <w:tcPr>
            <w:tcW w:w="2059" w:type="dxa"/>
          </w:tcPr>
          <w:p w:rsidR="00D67368" w:rsidRPr="00BF76BE" w:rsidRDefault="00D67368" w:rsidP="00D67368">
            <w:pPr>
              <w:pStyle w:val="TableText"/>
            </w:pPr>
            <w:r w:rsidRPr="00BF76BE">
              <w:t xml:space="preserve">Unclear </w:t>
            </w:r>
          </w:p>
          <w:p w:rsidR="00D67368" w:rsidRPr="00BF76BE" w:rsidRDefault="00D67368" w:rsidP="00D67368">
            <w:pPr>
              <w:pStyle w:val="TableText"/>
            </w:pPr>
          </w:p>
          <w:p w:rsidR="00D67368" w:rsidRPr="00BF76BE" w:rsidRDefault="00D67368" w:rsidP="00D67368">
            <w:pPr>
              <w:pStyle w:val="TableText"/>
            </w:pPr>
            <w:r w:rsidRPr="00BF76BE">
              <w:t xml:space="preserve">No information provided on method used to measure readmission and other utilization outcomes. Neither type of </w:t>
            </w:r>
            <w:proofErr w:type="spellStart"/>
            <w:r w:rsidRPr="00BF76BE">
              <w:t>QoL</w:t>
            </w:r>
            <w:proofErr w:type="spellEnd"/>
            <w:r w:rsidRPr="00BF76BE">
              <w:t xml:space="preserve"> measured nor </w:t>
            </w:r>
            <w:proofErr w:type="spellStart"/>
            <w:r w:rsidRPr="00BF76BE">
              <w:t>QoL</w:t>
            </w:r>
            <w:proofErr w:type="spellEnd"/>
            <w:r w:rsidRPr="00BF76BE">
              <w:t xml:space="preserve"> scale used are described, making validity of those data unclear. Only 53% of sample received full 3 visits from a pharmacist. Unclear fidelity.</w:t>
            </w:r>
          </w:p>
        </w:tc>
      </w:tr>
      <w:tr w:rsidR="00D67368" w:rsidRPr="00D975DD" w:rsidTr="00D67368">
        <w:trPr>
          <w:cantSplit/>
        </w:trPr>
        <w:tc>
          <w:tcPr>
            <w:tcW w:w="1109" w:type="dxa"/>
          </w:tcPr>
          <w:p w:rsidR="00D67368" w:rsidRPr="00BF76BE" w:rsidRDefault="00D67368" w:rsidP="00D67368">
            <w:pPr>
              <w:pStyle w:val="TableText"/>
            </w:pPr>
            <w:proofErr w:type="spellStart"/>
            <w:r w:rsidRPr="00BF76BE">
              <w:t>Tsuyuki</w:t>
            </w:r>
            <w:proofErr w:type="spellEnd"/>
            <w:r>
              <w:t xml:space="preserve"> et al.</w:t>
            </w:r>
            <w:r w:rsidRPr="00BF76BE">
              <w:t>, 2004</w:t>
            </w:r>
            <w:r w:rsidRPr="007F243B">
              <w:rPr>
                <w:rFonts w:ascii="Times New Roman" w:hAnsi="Times New Roman" w:cs="Times New Roman"/>
                <w:noProof/>
                <w:vertAlign w:val="superscript"/>
              </w:rPr>
              <w:t>48</w:t>
            </w:r>
          </w:p>
        </w:tc>
        <w:tc>
          <w:tcPr>
            <w:tcW w:w="1080" w:type="dxa"/>
            <w:noWrap/>
          </w:tcPr>
          <w:p w:rsidR="00D67368" w:rsidRPr="00BF76BE" w:rsidRDefault="00D67368" w:rsidP="00D67368">
            <w:pPr>
              <w:pStyle w:val="TableText"/>
            </w:pPr>
            <w:r w:rsidRPr="00BF76BE">
              <w:t>Yes</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No</w:t>
            </w:r>
          </w:p>
        </w:tc>
        <w:tc>
          <w:tcPr>
            <w:tcW w:w="1260" w:type="dxa"/>
          </w:tcPr>
          <w:p w:rsidR="00D67368" w:rsidRPr="00BF76BE" w:rsidRDefault="00D67368" w:rsidP="00D67368">
            <w:pPr>
              <w:pStyle w:val="TableText"/>
            </w:pPr>
            <w:r w:rsidRPr="00BF76BE">
              <w:t xml:space="preserve">2.5% </w:t>
            </w:r>
          </w:p>
          <w:p w:rsidR="00D67368" w:rsidRPr="00BF76BE" w:rsidRDefault="00D67368" w:rsidP="00D67368">
            <w:pPr>
              <w:pStyle w:val="TableText"/>
            </w:pPr>
          </w:p>
          <w:p w:rsidR="00D67368" w:rsidRPr="00BF76BE" w:rsidRDefault="00D67368" w:rsidP="00D67368">
            <w:pPr>
              <w:pStyle w:val="TableText"/>
            </w:pPr>
            <w:r w:rsidRPr="00BF76BE">
              <w:t>0.8%</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tc>
      </w:tr>
      <w:tr w:rsidR="00D67368" w:rsidRPr="00D975DD" w:rsidTr="00D67368">
        <w:trPr>
          <w:cantSplit/>
        </w:trPr>
        <w:tc>
          <w:tcPr>
            <w:tcW w:w="1109" w:type="dxa"/>
          </w:tcPr>
          <w:p w:rsidR="00D67368" w:rsidRDefault="00D67368" w:rsidP="00D67368">
            <w:pPr>
              <w:pStyle w:val="TableText"/>
            </w:pPr>
            <w:r w:rsidRPr="00BF76BE">
              <w:t>Wakefield</w:t>
            </w:r>
            <w:r>
              <w:t xml:space="preserve"> et al.</w:t>
            </w:r>
            <w:r w:rsidRPr="00BF76BE">
              <w:t>, 2008</w:t>
            </w:r>
            <w:r w:rsidRPr="007F243B">
              <w:rPr>
                <w:rFonts w:ascii="Times New Roman" w:hAnsi="Times New Roman" w:cs="Times New Roman"/>
                <w:noProof/>
                <w:vertAlign w:val="superscript"/>
              </w:rPr>
              <w:t>49</w:t>
            </w:r>
          </w:p>
          <w:p w:rsidR="00D67368" w:rsidRPr="00BF76BE" w:rsidRDefault="00D67368" w:rsidP="00D67368">
            <w:pPr>
              <w:pStyle w:val="TableText"/>
            </w:pPr>
            <w:r w:rsidRPr="00BF76BE">
              <w:t>Wakefield</w:t>
            </w:r>
            <w:r>
              <w:t xml:space="preserve"> et al.</w:t>
            </w:r>
            <w:r w:rsidRPr="00BF76BE">
              <w:t>, 2009</w:t>
            </w:r>
            <w:r w:rsidRPr="007F243B">
              <w:rPr>
                <w:rFonts w:ascii="Times New Roman" w:hAnsi="Times New Roman" w:cs="Times New Roman"/>
                <w:noProof/>
                <w:vertAlign w:val="superscript"/>
              </w:rPr>
              <w:t>50</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 xml:space="preserve">0% for readmission and mortality </w:t>
            </w:r>
          </w:p>
        </w:tc>
        <w:tc>
          <w:tcPr>
            <w:tcW w:w="900" w:type="dxa"/>
          </w:tcPr>
          <w:p w:rsidR="00D67368" w:rsidRPr="00BF76BE" w:rsidRDefault="00D67368" w:rsidP="00D67368">
            <w:pPr>
              <w:pStyle w:val="TableText"/>
            </w:pPr>
            <w:r w:rsidRPr="00BF76BE">
              <w:t>No</w:t>
            </w:r>
          </w:p>
        </w:tc>
        <w:tc>
          <w:tcPr>
            <w:tcW w:w="900" w:type="dxa"/>
            <w:noWrap/>
          </w:tcPr>
          <w:p w:rsidR="00D67368" w:rsidRPr="00BF76BE" w:rsidRDefault="00D67368" w:rsidP="00D67368">
            <w:pPr>
              <w:pStyle w:val="TableText"/>
            </w:pPr>
            <w:r w:rsidRPr="00BF76BE">
              <w:t>Unclear</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NA</w:t>
            </w:r>
          </w:p>
        </w:tc>
        <w:tc>
          <w:tcPr>
            <w:tcW w:w="900" w:type="dxa"/>
          </w:tcPr>
          <w:p w:rsidR="00D67368" w:rsidRPr="00BF76BE" w:rsidRDefault="00D67368" w:rsidP="00D67368">
            <w:pPr>
              <w:pStyle w:val="TableText"/>
            </w:pPr>
            <w:r w:rsidRPr="00BF76BE">
              <w:t>Yes</w:t>
            </w:r>
          </w:p>
        </w:tc>
        <w:tc>
          <w:tcPr>
            <w:tcW w:w="900" w:type="dxa"/>
          </w:tcPr>
          <w:p w:rsidR="00D67368" w:rsidRPr="00BF76BE" w:rsidRDefault="00D67368" w:rsidP="00D67368">
            <w:pPr>
              <w:pStyle w:val="TableText"/>
            </w:pPr>
            <w:r w:rsidRPr="00BF76BE">
              <w:t>Yes</w:t>
            </w:r>
          </w:p>
        </w:tc>
        <w:tc>
          <w:tcPr>
            <w:tcW w:w="2059" w:type="dxa"/>
          </w:tcPr>
          <w:p w:rsidR="00D67368" w:rsidRPr="00BF76BE" w:rsidRDefault="00D67368" w:rsidP="00D67368">
            <w:pPr>
              <w:pStyle w:val="TableText"/>
            </w:pPr>
            <w:r w:rsidRPr="00BF76BE">
              <w:t>Medium</w:t>
            </w:r>
          </w:p>
          <w:p w:rsidR="00D67368" w:rsidRPr="00BF76BE" w:rsidRDefault="00D67368" w:rsidP="00D67368">
            <w:pPr>
              <w:pStyle w:val="TableText"/>
            </w:pPr>
          </w:p>
          <w:p w:rsidR="00D67368" w:rsidRPr="00BF76BE" w:rsidRDefault="00D67368" w:rsidP="00D67368">
            <w:pPr>
              <w:pStyle w:val="TableText"/>
            </w:pPr>
          </w:p>
        </w:tc>
      </w:tr>
      <w:tr w:rsidR="00D67368" w:rsidRPr="00D975DD" w:rsidTr="00D67368">
        <w:trPr>
          <w:cantSplit/>
          <w:trHeight w:val="3689"/>
        </w:trPr>
        <w:tc>
          <w:tcPr>
            <w:tcW w:w="1109" w:type="dxa"/>
          </w:tcPr>
          <w:p w:rsidR="00D67368" w:rsidRPr="00BF76BE" w:rsidRDefault="00D67368" w:rsidP="00D67368">
            <w:pPr>
              <w:pStyle w:val="TableText"/>
            </w:pPr>
            <w:proofErr w:type="spellStart"/>
            <w:r w:rsidRPr="00BF76BE">
              <w:lastRenderedPageBreak/>
              <w:t>Woodend</w:t>
            </w:r>
            <w:proofErr w:type="spellEnd"/>
            <w:r>
              <w:t xml:space="preserve"> et al.</w:t>
            </w:r>
            <w:r w:rsidRPr="00BF76BE">
              <w:t>,</w:t>
            </w:r>
            <w:r>
              <w:t xml:space="preserve"> </w:t>
            </w:r>
            <w:r w:rsidRPr="00BF76BE">
              <w:t>2008</w:t>
            </w:r>
            <w:r w:rsidRPr="007F243B">
              <w:rPr>
                <w:rFonts w:ascii="Times New Roman" w:hAnsi="Times New Roman" w:cs="Times New Roman"/>
                <w:noProof/>
                <w:vertAlign w:val="superscript"/>
              </w:rPr>
              <w:t>51</w:t>
            </w:r>
          </w:p>
        </w:tc>
        <w:tc>
          <w:tcPr>
            <w:tcW w:w="1080" w:type="dxa"/>
            <w:noWrap/>
          </w:tcPr>
          <w:p w:rsidR="00D67368" w:rsidRPr="00BF76BE" w:rsidRDefault="00D67368" w:rsidP="00D67368">
            <w:pPr>
              <w:pStyle w:val="TableText"/>
            </w:pPr>
            <w:r w:rsidRPr="00BF76BE">
              <w:t>NR/CND</w:t>
            </w:r>
          </w:p>
        </w:tc>
        <w:tc>
          <w:tcPr>
            <w:tcW w:w="900" w:type="dxa"/>
            <w:noWrap/>
          </w:tcPr>
          <w:p w:rsidR="00D67368" w:rsidRPr="00BF76BE" w:rsidRDefault="00D67368" w:rsidP="00D67368">
            <w:pPr>
              <w:pStyle w:val="TableText"/>
            </w:pPr>
            <w:r w:rsidRPr="00BF76BE">
              <w:t>NR/CND</w:t>
            </w:r>
          </w:p>
        </w:tc>
        <w:tc>
          <w:tcPr>
            <w:tcW w:w="99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NR/CND</w:t>
            </w:r>
          </w:p>
        </w:tc>
        <w:tc>
          <w:tcPr>
            <w:tcW w:w="1260" w:type="dxa"/>
          </w:tcPr>
          <w:p w:rsidR="00D67368" w:rsidRPr="00BF76BE" w:rsidRDefault="00D67368" w:rsidP="00D67368">
            <w:pPr>
              <w:pStyle w:val="TableText"/>
            </w:pPr>
            <w:r w:rsidRPr="00BF76BE">
              <w:t>NR/CND at eligible time points</w:t>
            </w:r>
          </w:p>
          <w:p w:rsidR="00D67368" w:rsidRPr="00BF76BE" w:rsidRDefault="00D67368" w:rsidP="00D67368">
            <w:pPr>
              <w:pStyle w:val="TableText"/>
            </w:pPr>
          </w:p>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Unclear or NR</w:t>
            </w:r>
          </w:p>
        </w:tc>
        <w:tc>
          <w:tcPr>
            <w:tcW w:w="900" w:type="dxa"/>
            <w:noWrap/>
          </w:tcPr>
          <w:p w:rsidR="00D67368" w:rsidRPr="00BF76BE" w:rsidRDefault="00D67368" w:rsidP="00D67368">
            <w:pPr>
              <w:pStyle w:val="TableText"/>
            </w:pPr>
            <w:r w:rsidRPr="00BF76BE">
              <w:t>NR/CND</w:t>
            </w:r>
          </w:p>
        </w:tc>
        <w:tc>
          <w:tcPr>
            <w:tcW w:w="1091" w:type="dxa"/>
            <w:noWrap/>
          </w:tcPr>
          <w:p w:rsidR="00D67368" w:rsidRPr="00BF76BE" w:rsidRDefault="00D67368" w:rsidP="00D67368">
            <w:pPr>
              <w:pStyle w:val="TableText"/>
            </w:pPr>
            <w:r w:rsidRPr="00BF76BE">
              <w:t>Yes</w:t>
            </w:r>
          </w:p>
          <w:p w:rsidR="00D67368" w:rsidRPr="00BF76BE" w:rsidRDefault="00D67368" w:rsidP="00D67368">
            <w:pPr>
              <w:pStyle w:val="TableText"/>
            </w:pPr>
          </w:p>
          <w:p w:rsidR="00D67368" w:rsidRPr="00BF76BE" w:rsidRDefault="00D67368" w:rsidP="00D67368">
            <w:pPr>
              <w:pStyle w:val="TableText"/>
            </w:pPr>
            <w:r w:rsidRPr="00BF76BE">
              <w:t>NR/CND</w:t>
            </w:r>
          </w:p>
        </w:tc>
        <w:tc>
          <w:tcPr>
            <w:tcW w:w="900" w:type="dxa"/>
          </w:tcPr>
          <w:p w:rsidR="00D67368" w:rsidRPr="00BF76BE" w:rsidRDefault="00D67368" w:rsidP="00D67368">
            <w:pPr>
              <w:pStyle w:val="TableText"/>
            </w:pPr>
            <w:r w:rsidRPr="00BF76BE">
              <w:t>No</w:t>
            </w:r>
          </w:p>
        </w:tc>
        <w:tc>
          <w:tcPr>
            <w:tcW w:w="900" w:type="dxa"/>
          </w:tcPr>
          <w:p w:rsidR="00D67368" w:rsidRPr="00BF76BE" w:rsidRDefault="00D67368" w:rsidP="00D67368">
            <w:pPr>
              <w:pStyle w:val="TableText"/>
            </w:pPr>
            <w:r w:rsidRPr="00BF76BE">
              <w:t>unclear</w:t>
            </w:r>
          </w:p>
        </w:tc>
        <w:tc>
          <w:tcPr>
            <w:tcW w:w="2059" w:type="dxa"/>
          </w:tcPr>
          <w:p w:rsidR="00D67368" w:rsidRPr="00BF76BE" w:rsidRDefault="00D67368" w:rsidP="00D67368">
            <w:pPr>
              <w:pStyle w:val="TableText"/>
            </w:pPr>
            <w:r w:rsidRPr="00BF76BE">
              <w:t>High</w:t>
            </w:r>
          </w:p>
          <w:p w:rsidR="00D67368" w:rsidRPr="00BF76BE" w:rsidRDefault="00D67368" w:rsidP="00D67368">
            <w:pPr>
              <w:pStyle w:val="TableText"/>
            </w:pPr>
          </w:p>
          <w:p w:rsidR="00D67368" w:rsidRPr="00BF76BE" w:rsidRDefault="00D67368" w:rsidP="00D67368">
            <w:pPr>
              <w:pStyle w:val="TableText"/>
            </w:pPr>
            <w:r w:rsidRPr="00BF76BE">
              <w:t xml:space="preserve">Fewer patients in </w:t>
            </w:r>
            <w:proofErr w:type="spellStart"/>
            <w:r w:rsidRPr="00BF76BE">
              <w:t>telemonitoring</w:t>
            </w:r>
            <w:proofErr w:type="spellEnd"/>
            <w:r w:rsidRPr="00BF76BE">
              <w:t xml:space="preserve"> group had angina compared with usual care. Loss to follow-up and death reported for 12 months, unclear if these were included in data analysis for earlier time points or excluded. At 12 months, 22% of the intervention group also received home visits. Utilization outcomes assessed by self-report only. Not clear if attempt made to account for utilization among those lost to follow-up or who were later found to have died.</w:t>
            </w:r>
          </w:p>
        </w:tc>
      </w:tr>
    </w:tbl>
    <w:p w:rsidR="00D67368" w:rsidRDefault="00D67368" w:rsidP="00D67368">
      <w:pPr>
        <w:pStyle w:val="TableNote"/>
      </w:pPr>
      <w:proofErr w:type="gramStart"/>
      <w:r w:rsidRPr="00BF0E22">
        <w:rPr>
          <w:rFonts w:eastAsia="Calibri"/>
          <w:vertAlign w:val="superscript"/>
        </w:rPr>
        <w:t>a</w:t>
      </w:r>
      <w:proofErr w:type="gramEnd"/>
      <w:r>
        <w:rPr>
          <w:rFonts w:ascii="Arial" w:eastAsia="Calibri" w:hAnsi="Arial" w:cs="Arial"/>
          <w:szCs w:val="18"/>
        </w:rPr>
        <w:t xml:space="preserve"> </w:t>
      </w:r>
      <w:r w:rsidRPr="00BF0E22">
        <w:rPr>
          <w:rFonts w:eastAsia="Calibri"/>
        </w:rPr>
        <w:t>Three studies involved crossover designs or contamination:</w:t>
      </w:r>
      <w:r>
        <w:rPr>
          <w:rFonts w:ascii="Arial" w:eastAsia="Calibri" w:hAnsi="Arial" w:cs="Arial"/>
          <w:szCs w:val="18"/>
        </w:rPr>
        <w:t xml:space="preserve"> </w:t>
      </w:r>
      <w:r>
        <w:t>Duffy et al., 2010,</w:t>
      </w:r>
      <w:r w:rsidRPr="00C43968">
        <w:rPr>
          <w:noProof/>
          <w:vertAlign w:val="superscript"/>
        </w:rPr>
        <w:t>12</w:t>
      </w:r>
      <w:r>
        <w:t xml:space="preserve"> </w:t>
      </w:r>
      <w:proofErr w:type="spellStart"/>
      <w:r>
        <w:t>Pekmezaris</w:t>
      </w:r>
      <w:proofErr w:type="spellEnd"/>
      <w:r>
        <w:t xml:space="preserve"> et al., 2012</w:t>
      </w:r>
      <w:r w:rsidRPr="007F243B">
        <w:rPr>
          <w:noProof/>
          <w:vertAlign w:val="superscript"/>
        </w:rPr>
        <w:t>33</w:t>
      </w:r>
      <w:r>
        <w:t xml:space="preserve"> and </w:t>
      </w:r>
      <w:proofErr w:type="spellStart"/>
      <w:r>
        <w:t>Woodend</w:t>
      </w:r>
      <w:proofErr w:type="spellEnd"/>
      <w:r>
        <w:t xml:space="preserve"> et al., 2008.</w:t>
      </w:r>
      <w:r w:rsidRPr="007F243B">
        <w:rPr>
          <w:noProof/>
          <w:vertAlign w:val="superscript"/>
        </w:rPr>
        <w:t>51</w:t>
      </w:r>
      <w:r>
        <w:t xml:space="preserve"> </w:t>
      </w:r>
    </w:p>
    <w:p w:rsidR="00D67368" w:rsidRPr="00952630" w:rsidRDefault="00D67368" w:rsidP="00D67368">
      <w:pPr>
        <w:pStyle w:val="TableNote"/>
      </w:pPr>
      <w:r w:rsidRPr="00952630">
        <w:rPr>
          <w:rFonts w:eastAsia="Calibri"/>
        </w:rPr>
        <w:t xml:space="preserve">Abbreviations: </w:t>
      </w:r>
      <w:r w:rsidRPr="00952630">
        <w:t xml:space="preserve">ACEI = ACE inhibitor; AF = atrial fibrillation; BB = beta-blocker; CND = cannot determine; COI = conflict of interest; COPD = chronic obstructive pulmonary disease; DM = diabetes mellitus; EF = ejection fraction; ER = emergency room; GP = general practitioner; CHF = congestive heart failure; HTN = hypertension; ITT = intent-to-treat; MI = myocardial infarction; </w:t>
      </w:r>
      <w:proofErr w:type="spellStart"/>
      <w:r w:rsidRPr="00952630">
        <w:t>Ms</w:t>
      </w:r>
      <w:proofErr w:type="spellEnd"/>
      <w:r w:rsidRPr="00952630">
        <w:t xml:space="preserve"> = months; NA = not applicable; NR = not reported; NTM = no </w:t>
      </w:r>
      <w:proofErr w:type="spellStart"/>
      <w:r w:rsidRPr="00952630">
        <w:t>telemonitoring</w:t>
      </w:r>
      <w:proofErr w:type="spellEnd"/>
      <w:r w:rsidRPr="00952630">
        <w:t xml:space="preserve">; NYHA = New York Heart Association functional classification; PVD = peripheral vascular disease; </w:t>
      </w:r>
      <w:proofErr w:type="spellStart"/>
      <w:r w:rsidRPr="00952630">
        <w:t>QoL</w:t>
      </w:r>
      <w:proofErr w:type="spellEnd"/>
      <w:r w:rsidRPr="00952630">
        <w:t xml:space="preserve"> = quality of life; </w:t>
      </w:r>
      <w:proofErr w:type="spellStart"/>
      <w:r>
        <w:t>RoB</w:t>
      </w:r>
      <w:proofErr w:type="spellEnd"/>
      <w:r>
        <w:t xml:space="preserve"> = risk of bias; </w:t>
      </w:r>
      <w:r w:rsidRPr="00952630">
        <w:t>vs. = versus</w:t>
      </w:r>
    </w:p>
    <w:p w:rsidR="00D67368" w:rsidRDefault="00D67368" w:rsidP="00D67368">
      <w:pPr>
        <w:pStyle w:val="Reference"/>
        <w:rPr>
          <w:rFonts w:eastAsia="Calibri"/>
        </w:rPr>
      </w:pPr>
    </w:p>
    <w:p w:rsidR="00D67368" w:rsidRDefault="00D67368" w:rsidP="00D67368">
      <w:pPr>
        <w:pStyle w:val="Level1Heading"/>
        <w:rPr>
          <w:rFonts w:eastAsia="Calibri"/>
        </w:rPr>
        <w:sectPr w:rsidR="00D67368" w:rsidSect="00D67368">
          <w:footerReference w:type="default" r:id="rId9"/>
          <w:pgSz w:w="15840" w:h="12240" w:orient="landscape" w:code="1"/>
          <w:pgMar w:top="1440" w:right="1440" w:bottom="1440" w:left="1440" w:header="720" w:footer="720" w:gutter="0"/>
          <w:pgNumType w:start="1"/>
          <w:cols w:space="720"/>
          <w:docGrid w:linePitch="360"/>
        </w:sectPr>
      </w:pPr>
    </w:p>
    <w:p w:rsidR="00D67368" w:rsidRPr="00E468CB" w:rsidRDefault="00D67368" w:rsidP="004A0072">
      <w:pPr>
        <w:pStyle w:val="Level1Heading"/>
        <w:jc w:val="center"/>
        <w:rPr>
          <w:rFonts w:eastAsia="Calibri"/>
        </w:rPr>
      </w:pPr>
      <w:bookmarkStart w:id="3" w:name="_Toc380569703"/>
      <w:r>
        <w:rPr>
          <w:rFonts w:eastAsia="Calibri"/>
        </w:rPr>
        <w:lastRenderedPageBreak/>
        <w:t>Appendix D References</w:t>
      </w:r>
      <w:bookmarkEnd w:id="3"/>
    </w:p>
    <w:p w:rsidR="00D67368" w:rsidRDefault="00D67368" w:rsidP="00D67368">
      <w:pPr>
        <w:pStyle w:val="Reference"/>
        <w:rPr>
          <w:rFonts w:eastAsia="Calibri"/>
          <w:noProof/>
          <w:sz w:val="18"/>
        </w:rPr>
        <w:sectPr w:rsidR="00D67368" w:rsidSect="00D67368">
          <w:headerReference w:type="default" r:id="rId10"/>
          <w:footerReference w:type="default" r:id="rId11"/>
          <w:pgSz w:w="12240" w:h="15840" w:code="1"/>
          <w:pgMar w:top="1440" w:right="1440" w:bottom="1440" w:left="1440" w:header="720" w:footer="720" w:gutter="0"/>
          <w:cols w:space="720"/>
          <w:docGrid w:linePitch="360"/>
        </w:sectPr>
      </w:pPr>
    </w:p>
    <w:p w:rsidR="00D67368" w:rsidRDefault="00D67368" w:rsidP="00D67368">
      <w:pPr>
        <w:pStyle w:val="Reference"/>
        <w:rPr>
          <w:rFonts w:eastAsia="Calibri"/>
          <w:noProof/>
        </w:rPr>
      </w:pPr>
      <w:r w:rsidRPr="007F243B">
        <w:rPr>
          <w:rFonts w:eastAsia="Calibri"/>
          <w:noProof/>
          <w:sz w:val="18"/>
        </w:rPr>
        <w:lastRenderedPageBreak/>
        <w:t>1.</w:t>
      </w:r>
      <w:r w:rsidRPr="007F243B">
        <w:rPr>
          <w:rFonts w:eastAsia="Calibri"/>
          <w:noProof/>
          <w:sz w:val="18"/>
        </w:rPr>
        <w:tab/>
      </w:r>
      <w:r>
        <w:rPr>
          <w:rFonts w:eastAsia="Calibri"/>
          <w:noProof/>
        </w:rPr>
        <w:t>Albert NM, Buchsbaum R, Li J. Randomized study of the effect of video education on heart failure healthcare utilization, symptoms, and self-care behaviors. Patient Educ Couns. 2007 Dec;69(1-3):129-39. PMID: 17913440.</w:t>
      </w:r>
    </w:p>
    <w:p w:rsidR="00D67368" w:rsidRDefault="00D67368" w:rsidP="00D67368">
      <w:pPr>
        <w:pStyle w:val="Reference"/>
        <w:rPr>
          <w:rFonts w:eastAsia="Calibri"/>
          <w:noProof/>
        </w:rPr>
      </w:pPr>
      <w:r w:rsidRPr="007F243B">
        <w:rPr>
          <w:rFonts w:eastAsia="Calibri"/>
          <w:noProof/>
          <w:sz w:val="18"/>
        </w:rPr>
        <w:t>2.</w:t>
      </w:r>
      <w:r w:rsidRPr="007F243B">
        <w:rPr>
          <w:rFonts w:eastAsia="Calibri"/>
          <w:noProof/>
          <w:sz w:val="18"/>
        </w:rPr>
        <w:tab/>
      </w:r>
      <w:r>
        <w:rPr>
          <w:rFonts w:eastAsia="Calibri"/>
          <w:noProof/>
        </w:rPr>
        <w:t>Aldamiz-Echevarría Iraúrgui B, Muñiz J, Rodríguez-Fernández JA, et al. [Randomized controlled clinical trial of a home care unit intervention to reduce readmission and death rates in patients discharged from hospital following admission for heart failure]. Rev Esp Cardiol. 2007(9):914-22. PMID: CN-00612373.</w:t>
      </w:r>
    </w:p>
    <w:p w:rsidR="00D67368" w:rsidRDefault="00D67368" w:rsidP="00D67368">
      <w:pPr>
        <w:pStyle w:val="Reference"/>
        <w:rPr>
          <w:rFonts w:eastAsia="Calibri"/>
          <w:noProof/>
        </w:rPr>
      </w:pPr>
      <w:r w:rsidRPr="007F243B">
        <w:rPr>
          <w:rFonts w:eastAsia="Calibri"/>
          <w:noProof/>
          <w:sz w:val="18"/>
        </w:rPr>
        <w:t>3.</w:t>
      </w:r>
      <w:r w:rsidRPr="007F243B">
        <w:rPr>
          <w:rFonts w:eastAsia="Calibri"/>
          <w:noProof/>
          <w:sz w:val="18"/>
        </w:rPr>
        <w:tab/>
      </w:r>
      <w:r>
        <w:rPr>
          <w:rFonts w:eastAsia="Calibri"/>
          <w:noProof/>
        </w:rPr>
        <w:t>Angermann CE, Stork S, Gelbrich G, et al. Mode of action and effects of standardized collaborative disease management on mortality and morbidity in patients with systolic heart failure: the Interdisciplinary Network for Heart Failure (INH) study. Circ Heart Fail. 2012 Jan;5(1):25-35. PMID: 21956192.</w:t>
      </w:r>
    </w:p>
    <w:p w:rsidR="00D67368" w:rsidRDefault="00D67368" w:rsidP="00D67368">
      <w:pPr>
        <w:pStyle w:val="Reference"/>
        <w:rPr>
          <w:rFonts w:eastAsia="Calibri"/>
          <w:noProof/>
        </w:rPr>
      </w:pPr>
      <w:r w:rsidRPr="007F243B">
        <w:rPr>
          <w:rFonts w:eastAsia="Calibri"/>
          <w:noProof/>
          <w:sz w:val="18"/>
        </w:rPr>
        <w:t>4.</w:t>
      </w:r>
      <w:r w:rsidRPr="007F243B">
        <w:rPr>
          <w:rFonts w:eastAsia="Calibri"/>
          <w:noProof/>
          <w:sz w:val="18"/>
        </w:rPr>
        <w:tab/>
      </w:r>
      <w:r>
        <w:rPr>
          <w:rFonts w:eastAsia="Calibri"/>
          <w:noProof/>
        </w:rPr>
        <w:t>Barth V. A nurse-managed discharge program for congestive heart failure patients: outcomes and costs. Home Health Care Manag Pract. 2001(6):436-43. PMID: CN-00773514.</w:t>
      </w:r>
    </w:p>
    <w:p w:rsidR="00D67368" w:rsidRDefault="00D67368" w:rsidP="00D67368">
      <w:pPr>
        <w:pStyle w:val="Reference"/>
        <w:rPr>
          <w:rFonts w:eastAsia="Calibri"/>
          <w:noProof/>
        </w:rPr>
      </w:pPr>
      <w:r w:rsidRPr="007F243B">
        <w:rPr>
          <w:rFonts w:eastAsia="Calibri"/>
          <w:noProof/>
          <w:sz w:val="18"/>
        </w:rPr>
        <w:t>5.</w:t>
      </w:r>
      <w:r w:rsidRPr="007F243B">
        <w:rPr>
          <w:rFonts w:eastAsia="Calibri"/>
          <w:noProof/>
          <w:sz w:val="18"/>
        </w:rPr>
        <w:tab/>
      </w:r>
      <w:r>
        <w:rPr>
          <w:rFonts w:eastAsia="Calibri"/>
          <w:noProof/>
        </w:rPr>
        <w:t>Benatar D, Bondmass M, Ghitelman J, et al. Outcomes of chronic heart failure. Arch Intern Med. 2003 Feb 10;163(3):347-52. PMID: 12578516.</w:t>
      </w:r>
    </w:p>
    <w:p w:rsidR="00D67368" w:rsidRDefault="00D67368" w:rsidP="00D67368">
      <w:pPr>
        <w:pStyle w:val="Reference"/>
        <w:rPr>
          <w:rFonts w:eastAsia="Calibri"/>
          <w:noProof/>
        </w:rPr>
      </w:pPr>
      <w:r w:rsidRPr="007F243B">
        <w:rPr>
          <w:rFonts w:eastAsia="Calibri"/>
          <w:noProof/>
          <w:sz w:val="18"/>
        </w:rPr>
        <w:t>6.</w:t>
      </w:r>
      <w:r w:rsidRPr="007F243B">
        <w:rPr>
          <w:rFonts w:eastAsia="Calibri"/>
          <w:noProof/>
          <w:sz w:val="18"/>
        </w:rPr>
        <w:tab/>
      </w:r>
      <w:r>
        <w:rPr>
          <w:rFonts w:eastAsia="Calibri"/>
          <w:noProof/>
        </w:rPr>
        <w:t>Lopez Cabezas C, Falces Salvador C, Cubi Quadrada D, et al. Randomized clinical trial of a postdischarge pharmaceutical care program vs regular follow-up in patients with heart failure. Farm Hosp. 2006 Nov-Dec;30(6):328-42. PMID: 17298190.</w:t>
      </w:r>
    </w:p>
    <w:p w:rsidR="00D67368" w:rsidRDefault="00D67368" w:rsidP="00D67368">
      <w:pPr>
        <w:pStyle w:val="Reference"/>
        <w:rPr>
          <w:rFonts w:eastAsia="Calibri"/>
          <w:noProof/>
        </w:rPr>
      </w:pPr>
      <w:r w:rsidRPr="007F243B">
        <w:rPr>
          <w:rFonts w:eastAsia="Calibri"/>
          <w:noProof/>
          <w:sz w:val="18"/>
        </w:rPr>
        <w:t>7.</w:t>
      </w:r>
      <w:r w:rsidRPr="007F243B">
        <w:rPr>
          <w:rFonts w:eastAsia="Calibri"/>
          <w:noProof/>
          <w:sz w:val="18"/>
        </w:rPr>
        <w:tab/>
      </w:r>
      <w:r>
        <w:rPr>
          <w:rFonts w:eastAsia="Calibri"/>
          <w:noProof/>
        </w:rPr>
        <w:t>Dar O, Riley J, Chapman C, et al. A randomized trial of home telemonitoring in a typical elderly heart failure population in North West London: results of the Home-HF study. Eur J Heart Fail. 2009(3):319-25. PMID: CN-00681894.</w:t>
      </w:r>
    </w:p>
    <w:p w:rsidR="00D67368" w:rsidRPr="009E48F1" w:rsidRDefault="00D67368" w:rsidP="00D67368">
      <w:pPr>
        <w:pStyle w:val="Reference"/>
        <w:rPr>
          <w:rFonts w:eastAsia="Calibri"/>
          <w:noProof/>
          <w:lang w:val="fr-FR"/>
        </w:rPr>
      </w:pPr>
      <w:r w:rsidRPr="007F243B">
        <w:rPr>
          <w:rFonts w:eastAsia="Calibri"/>
          <w:noProof/>
          <w:sz w:val="18"/>
        </w:rPr>
        <w:t>8.</w:t>
      </w:r>
      <w:r w:rsidRPr="007F243B">
        <w:rPr>
          <w:rFonts w:eastAsia="Calibri"/>
          <w:noProof/>
          <w:sz w:val="18"/>
        </w:rPr>
        <w:tab/>
      </w:r>
      <w:r>
        <w:rPr>
          <w:rFonts w:eastAsia="Calibri"/>
          <w:noProof/>
        </w:rPr>
        <w:t xml:space="preserve">Davis KK, Mintzer M, Dennison Himmelfarb CR, et al. Targeted intervention improves knowledge but not self-care or readmissions in heart failure patients with mild cognitive impairment. </w:t>
      </w:r>
      <w:r w:rsidRPr="009E48F1">
        <w:rPr>
          <w:rFonts w:eastAsia="Calibri"/>
          <w:noProof/>
          <w:lang w:val="fr-FR"/>
        </w:rPr>
        <w:t>Eur J Heart Fail. 2012 Sep;14(9):1041-9. PMID: 22736737.</w:t>
      </w:r>
    </w:p>
    <w:p w:rsidR="00D67368" w:rsidRDefault="00D67368" w:rsidP="00D67368">
      <w:pPr>
        <w:pStyle w:val="Reference"/>
        <w:rPr>
          <w:rFonts w:eastAsia="Calibri"/>
          <w:noProof/>
        </w:rPr>
      </w:pPr>
      <w:r w:rsidRPr="009E48F1">
        <w:rPr>
          <w:rFonts w:eastAsia="Calibri"/>
          <w:noProof/>
          <w:sz w:val="18"/>
          <w:lang w:val="fr-FR"/>
        </w:rPr>
        <w:lastRenderedPageBreak/>
        <w:t>9.</w:t>
      </w:r>
      <w:r w:rsidRPr="009E48F1">
        <w:rPr>
          <w:rFonts w:eastAsia="Calibri"/>
          <w:noProof/>
          <w:sz w:val="18"/>
          <w:lang w:val="fr-FR"/>
        </w:rPr>
        <w:tab/>
      </w:r>
      <w:r w:rsidRPr="009E48F1">
        <w:rPr>
          <w:rFonts w:eastAsia="Calibri"/>
          <w:noProof/>
          <w:lang w:val="fr-FR"/>
        </w:rPr>
        <w:t xml:space="preserve">Dendale P, De Keulenaer G, Troisfontaines P, et al. </w:t>
      </w:r>
      <w:r>
        <w:rPr>
          <w:rFonts w:eastAsia="Calibri"/>
          <w:noProof/>
        </w:rPr>
        <w:t>Effect of a telemonitoring-facilitated collaboration between general practitioner and heart failure clinic on mortality and rehospitalization rates in severe heart failure: the TEMA-HF 1 (TElemonitoring in the MAnagement of Heart Failure) study. Eur J Heart Fail. 2012 Mar;14(3):333-40. PMID: 22045925.</w:t>
      </w:r>
    </w:p>
    <w:p w:rsidR="00D67368" w:rsidRDefault="00D67368" w:rsidP="00D67368">
      <w:pPr>
        <w:pStyle w:val="Reference"/>
        <w:rPr>
          <w:rFonts w:eastAsia="Calibri"/>
          <w:noProof/>
        </w:rPr>
      </w:pPr>
      <w:r w:rsidRPr="007F243B">
        <w:rPr>
          <w:rFonts w:eastAsia="Calibri"/>
          <w:noProof/>
          <w:sz w:val="18"/>
        </w:rPr>
        <w:t>10.</w:t>
      </w:r>
      <w:r w:rsidRPr="007F243B">
        <w:rPr>
          <w:rFonts w:eastAsia="Calibri"/>
          <w:noProof/>
          <w:sz w:val="18"/>
        </w:rPr>
        <w:tab/>
      </w:r>
      <w:r>
        <w:rPr>
          <w:rFonts w:eastAsia="Calibri"/>
          <w:noProof/>
        </w:rPr>
        <w:t>Domingues FB, Clausell N, Aliti GB, et al. Education and telephone monitoring by nurses of patients with heart failure: randomized clinical trial. Arq Bras Cardiol. 2011 Mar;96(3):233-9. PMID: 21308343.</w:t>
      </w:r>
    </w:p>
    <w:p w:rsidR="00D67368" w:rsidRDefault="00D67368" w:rsidP="00D67368">
      <w:pPr>
        <w:pStyle w:val="Reference"/>
        <w:rPr>
          <w:rFonts w:eastAsia="Calibri"/>
          <w:noProof/>
        </w:rPr>
      </w:pPr>
      <w:r w:rsidRPr="007F243B">
        <w:rPr>
          <w:rFonts w:eastAsia="Calibri"/>
          <w:noProof/>
          <w:sz w:val="18"/>
        </w:rPr>
        <w:t>11.</w:t>
      </w:r>
      <w:r w:rsidRPr="007F243B">
        <w:rPr>
          <w:rFonts w:eastAsia="Calibri"/>
          <w:noProof/>
          <w:sz w:val="18"/>
        </w:rPr>
        <w:tab/>
      </w:r>
      <w:r>
        <w:rPr>
          <w:rFonts w:eastAsia="Calibri"/>
          <w:noProof/>
        </w:rPr>
        <w:t>Ducharme A, Doyon O, White M, et al. Impact of care at a multidisciplinary congestive heart failure clinic: a randomized trial. CMAJ. 2005 Jul 5;173(1):40-5. PMID: 15997043.</w:t>
      </w:r>
    </w:p>
    <w:p w:rsidR="00D67368" w:rsidRDefault="00D67368" w:rsidP="00D67368">
      <w:pPr>
        <w:pStyle w:val="Reference"/>
        <w:rPr>
          <w:rFonts w:eastAsia="Calibri"/>
          <w:noProof/>
        </w:rPr>
      </w:pPr>
      <w:r w:rsidRPr="007F243B">
        <w:rPr>
          <w:rFonts w:eastAsia="Calibri"/>
          <w:noProof/>
          <w:sz w:val="18"/>
        </w:rPr>
        <w:t>12.</w:t>
      </w:r>
      <w:r w:rsidRPr="007F243B">
        <w:rPr>
          <w:rFonts w:eastAsia="Calibri"/>
          <w:noProof/>
          <w:sz w:val="18"/>
        </w:rPr>
        <w:tab/>
      </w:r>
      <w:r>
        <w:rPr>
          <w:rFonts w:eastAsia="Calibri"/>
          <w:noProof/>
        </w:rPr>
        <w:t>Duffy JR, Hoskins LM, Dudley-Brown S. Improving outcomes for older adults with heart failure: a randomized trial using a theory-guided nursing intervention. J Nurs Care Qual. 2010 Jan-Mar;25(1):56-64. PMID: 19512945.</w:t>
      </w:r>
    </w:p>
    <w:p w:rsidR="00D67368" w:rsidRDefault="00D67368" w:rsidP="00D67368">
      <w:pPr>
        <w:pStyle w:val="Reference"/>
        <w:rPr>
          <w:rFonts w:eastAsia="Calibri"/>
          <w:noProof/>
        </w:rPr>
      </w:pPr>
      <w:r w:rsidRPr="007F243B">
        <w:rPr>
          <w:rFonts w:eastAsia="Calibri"/>
          <w:noProof/>
          <w:sz w:val="18"/>
        </w:rPr>
        <w:t>13.</w:t>
      </w:r>
      <w:r w:rsidRPr="007F243B">
        <w:rPr>
          <w:rFonts w:eastAsia="Calibri"/>
          <w:noProof/>
          <w:sz w:val="18"/>
        </w:rPr>
        <w:tab/>
      </w:r>
      <w:r>
        <w:rPr>
          <w:rFonts w:eastAsia="Calibri"/>
          <w:noProof/>
        </w:rPr>
        <w:t>Dunagan WC, Littenberg B, Ewald GA, et al. Randomized trial of a nurse-administered, telephone-based disease management program for patients with heart failure. J Card Fail. 2005 Jun;11(5):358-65. PMID: 15948086.</w:t>
      </w:r>
    </w:p>
    <w:p w:rsidR="00D67368" w:rsidRDefault="00D67368" w:rsidP="00D67368">
      <w:pPr>
        <w:pStyle w:val="Reference"/>
        <w:rPr>
          <w:rFonts w:eastAsia="Calibri"/>
          <w:noProof/>
        </w:rPr>
      </w:pPr>
      <w:r w:rsidRPr="007F243B">
        <w:rPr>
          <w:rFonts w:eastAsia="Calibri"/>
          <w:noProof/>
          <w:sz w:val="18"/>
        </w:rPr>
        <w:t>14.</w:t>
      </w:r>
      <w:r w:rsidRPr="007F243B">
        <w:rPr>
          <w:rFonts w:eastAsia="Calibri"/>
          <w:noProof/>
          <w:sz w:val="18"/>
        </w:rPr>
        <w:tab/>
      </w:r>
      <w:r>
        <w:rPr>
          <w:rFonts w:eastAsia="Calibri"/>
          <w:noProof/>
        </w:rPr>
        <w:t>Ekman I, Andersson B, Ehnfors M, et al. Feasibility of a nurse-monitored, outpatient-care programme for elderly patients with moderate-to-severe, chronic heart failure. Eur Heart J. 1998 Aug;19(8):1254-60. PMID: 9740348.</w:t>
      </w:r>
    </w:p>
    <w:p w:rsidR="00D67368" w:rsidRDefault="00D67368" w:rsidP="00D67368">
      <w:pPr>
        <w:pStyle w:val="Reference"/>
        <w:rPr>
          <w:rFonts w:eastAsia="Calibri"/>
          <w:noProof/>
        </w:rPr>
      </w:pPr>
      <w:r w:rsidRPr="007F243B">
        <w:rPr>
          <w:rFonts w:eastAsia="Calibri"/>
          <w:noProof/>
          <w:sz w:val="18"/>
        </w:rPr>
        <w:t>15.</w:t>
      </w:r>
      <w:r w:rsidRPr="007F243B">
        <w:rPr>
          <w:rFonts w:eastAsia="Calibri"/>
          <w:noProof/>
          <w:sz w:val="18"/>
        </w:rPr>
        <w:tab/>
      </w:r>
      <w:r>
        <w:rPr>
          <w:rFonts w:eastAsia="Calibri"/>
          <w:noProof/>
        </w:rPr>
        <w:t>Goldberg LR, Piette JD, Walsh MN, et al. Randomized trial of a daily electronic home monitoring system in patients with advanced heart failure: the Weight Monitoring in Heart Failure (WHARF) trial. Am Heart J. 2003 Oct;146(4):705-12. PMID: 14564327.</w:t>
      </w:r>
    </w:p>
    <w:p w:rsidR="00D67368" w:rsidRDefault="00D67368" w:rsidP="00D67368">
      <w:pPr>
        <w:pStyle w:val="Reference"/>
        <w:rPr>
          <w:rFonts w:eastAsia="Calibri"/>
          <w:noProof/>
        </w:rPr>
      </w:pPr>
      <w:r w:rsidRPr="007F243B">
        <w:rPr>
          <w:rFonts w:eastAsia="Calibri"/>
          <w:noProof/>
          <w:sz w:val="18"/>
        </w:rPr>
        <w:t>16.</w:t>
      </w:r>
      <w:r w:rsidRPr="007F243B">
        <w:rPr>
          <w:rFonts w:eastAsia="Calibri"/>
          <w:noProof/>
          <w:sz w:val="18"/>
        </w:rPr>
        <w:tab/>
      </w:r>
      <w:r>
        <w:rPr>
          <w:rFonts w:eastAsia="Calibri"/>
          <w:noProof/>
        </w:rPr>
        <w:t>Holland R, Brooksby I, Lenaghan E, et al. Effectiveness of visits from community pharmacists for patients with heart failure: HeartMed randomised controlled trial. BMJ. 2007 May 26;334(7603):1098. PMID: 17452390.</w:t>
      </w:r>
    </w:p>
    <w:p w:rsidR="00D67368" w:rsidRDefault="00D67368" w:rsidP="00D67368">
      <w:pPr>
        <w:pStyle w:val="Reference"/>
        <w:rPr>
          <w:rFonts w:eastAsia="Calibri"/>
          <w:noProof/>
        </w:rPr>
      </w:pPr>
      <w:r w:rsidRPr="007F243B">
        <w:rPr>
          <w:rFonts w:eastAsia="Calibri"/>
          <w:noProof/>
          <w:sz w:val="18"/>
        </w:rPr>
        <w:lastRenderedPageBreak/>
        <w:t>17.</w:t>
      </w:r>
      <w:r w:rsidRPr="007F243B">
        <w:rPr>
          <w:rFonts w:eastAsia="Calibri"/>
          <w:noProof/>
          <w:sz w:val="18"/>
        </w:rPr>
        <w:tab/>
      </w:r>
      <w:r>
        <w:rPr>
          <w:rFonts w:eastAsia="Calibri"/>
          <w:noProof/>
        </w:rPr>
        <w:t>Jaarsma T, Halfens R, Huijer Abu-Saad H, et al. Effects of education and support on self-care and resource utilization in patients with heart failure. Eur Heart J. 1999 May;20(9):673-82. PMID: 10208788.</w:t>
      </w:r>
    </w:p>
    <w:p w:rsidR="00D67368" w:rsidRDefault="00D67368" w:rsidP="00D67368">
      <w:pPr>
        <w:pStyle w:val="Reference"/>
        <w:rPr>
          <w:rFonts w:eastAsia="Calibri"/>
          <w:noProof/>
        </w:rPr>
      </w:pPr>
      <w:r w:rsidRPr="007F243B">
        <w:rPr>
          <w:rFonts w:eastAsia="Calibri"/>
          <w:noProof/>
          <w:sz w:val="18"/>
        </w:rPr>
        <w:t>18.</w:t>
      </w:r>
      <w:r w:rsidRPr="007F243B">
        <w:rPr>
          <w:rFonts w:eastAsia="Calibri"/>
          <w:noProof/>
          <w:sz w:val="18"/>
        </w:rPr>
        <w:tab/>
      </w:r>
      <w:r>
        <w:rPr>
          <w:rFonts w:eastAsia="Calibri"/>
          <w:noProof/>
        </w:rPr>
        <w:t>Jerant AF, Azari R, Nesbitt TS. Reducing the cost of frequent hospital admissions for congestive heart failure: a randomized trial of a home telecare intervention. Med Care. 2001 Nov;39(11):1234-45. PMID: 11606877.</w:t>
      </w:r>
    </w:p>
    <w:p w:rsidR="00D67368" w:rsidRDefault="00D67368" w:rsidP="00D67368">
      <w:pPr>
        <w:pStyle w:val="Reference"/>
        <w:rPr>
          <w:rFonts w:eastAsia="Calibri"/>
          <w:noProof/>
        </w:rPr>
      </w:pPr>
      <w:r w:rsidRPr="007F243B">
        <w:rPr>
          <w:rFonts w:eastAsia="Calibri"/>
          <w:noProof/>
          <w:sz w:val="18"/>
        </w:rPr>
        <w:t>19.</w:t>
      </w:r>
      <w:r w:rsidRPr="007F243B">
        <w:rPr>
          <w:rFonts w:eastAsia="Calibri"/>
          <w:noProof/>
          <w:sz w:val="18"/>
        </w:rPr>
        <w:tab/>
      </w:r>
      <w:r>
        <w:rPr>
          <w:rFonts w:eastAsia="Calibri"/>
          <w:noProof/>
        </w:rPr>
        <w:t>Jerant AF, Azari R, Martinez C, et al. A randomized trial of telenursing to reduce hospitalization for heart failure: patient-centered outcomes and nursing indicators. Home Health Care Serv Q. 2003;22(1):1-20. PMID: 12749524.</w:t>
      </w:r>
    </w:p>
    <w:p w:rsidR="00D67368" w:rsidRDefault="00D67368" w:rsidP="00D67368">
      <w:pPr>
        <w:pStyle w:val="Reference"/>
        <w:rPr>
          <w:rFonts w:eastAsia="Calibri"/>
          <w:noProof/>
        </w:rPr>
      </w:pPr>
      <w:r w:rsidRPr="007F243B">
        <w:rPr>
          <w:rFonts w:eastAsia="Calibri"/>
          <w:noProof/>
          <w:sz w:val="18"/>
        </w:rPr>
        <w:t>20.</w:t>
      </w:r>
      <w:r w:rsidRPr="007F243B">
        <w:rPr>
          <w:rFonts w:eastAsia="Calibri"/>
          <w:noProof/>
          <w:sz w:val="18"/>
        </w:rPr>
        <w:tab/>
      </w:r>
      <w:r>
        <w:rPr>
          <w:rFonts w:eastAsia="Calibri"/>
          <w:noProof/>
        </w:rPr>
        <w:t>Kasper EK, Gerstenblith G, Hefter G, et al. A randomized trial of the efficacy of multidisciplinary care in heart failure outpatients at high risk of hospital readmission. J Am Coll Cardiol. 2002 Feb 6;39(3):471-80. PMID: 11823086.</w:t>
      </w:r>
    </w:p>
    <w:p w:rsidR="00D67368" w:rsidRDefault="00D67368" w:rsidP="00D67368">
      <w:pPr>
        <w:pStyle w:val="Reference"/>
        <w:rPr>
          <w:rFonts w:eastAsia="Calibri"/>
          <w:noProof/>
        </w:rPr>
      </w:pPr>
      <w:r w:rsidRPr="007F243B">
        <w:rPr>
          <w:rFonts w:eastAsia="Calibri"/>
          <w:noProof/>
          <w:sz w:val="18"/>
        </w:rPr>
        <w:t>21.</w:t>
      </w:r>
      <w:r w:rsidRPr="007F243B">
        <w:rPr>
          <w:rFonts w:eastAsia="Calibri"/>
          <w:noProof/>
          <w:sz w:val="18"/>
        </w:rPr>
        <w:tab/>
      </w:r>
      <w:r>
        <w:rPr>
          <w:rFonts w:eastAsia="Calibri"/>
          <w:noProof/>
        </w:rPr>
        <w:t>Kimmelstiel C, Levine D, Perry K, et al. Randomized, controlled evaluation of short- and long-term benefits of heart failure disease management within a diverse provider network: the SPAN-CHF trial. Circulation. 2004 Sep 14;110(11):1450-5. PMID: 15313938.</w:t>
      </w:r>
    </w:p>
    <w:p w:rsidR="00D67368" w:rsidRDefault="00D67368" w:rsidP="00D67368">
      <w:pPr>
        <w:pStyle w:val="Reference"/>
        <w:rPr>
          <w:rFonts w:eastAsia="Calibri"/>
          <w:noProof/>
        </w:rPr>
      </w:pPr>
      <w:r w:rsidRPr="007F243B">
        <w:rPr>
          <w:rFonts w:eastAsia="Calibri"/>
          <w:noProof/>
          <w:sz w:val="18"/>
        </w:rPr>
        <w:t>22.</w:t>
      </w:r>
      <w:r w:rsidRPr="007F243B">
        <w:rPr>
          <w:rFonts w:eastAsia="Calibri"/>
          <w:noProof/>
          <w:sz w:val="18"/>
        </w:rPr>
        <w:tab/>
      </w:r>
      <w:r>
        <w:rPr>
          <w:rFonts w:eastAsia="Calibri"/>
          <w:noProof/>
        </w:rPr>
        <w:t>Koelling TM, Johnson ML, Cody RJ, et al. Discharge education improves clinical outcomes in patients with chronic heart failure. Circulation. 2005 Jan 18;111(2):179-85. PMID: 15642765.</w:t>
      </w:r>
    </w:p>
    <w:p w:rsidR="00D67368" w:rsidRDefault="00D67368" w:rsidP="00D67368">
      <w:pPr>
        <w:pStyle w:val="Reference"/>
        <w:rPr>
          <w:rFonts w:eastAsia="Calibri"/>
          <w:noProof/>
        </w:rPr>
      </w:pPr>
      <w:r w:rsidRPr="007F243B">
        <w:rPr>
          <w:rFonts w:eastAsia="Calibri"/>
          <w:noProof/>
          <w:sz w:val="18"/>
        </w:rPr>
        <w:t>23.</w:t>
      </w:r>
      <w:r w:rsidRPr="007F243B">
        <w:rPr>
          <w:rFonts w:eastAsia="Calibri"/>
          <w:noProof/>
          <w:sz w:val="18"/>
        </w:rPr>
        <w:tab/>
      </w:r>
      <w:r>
        <w:rPr>
          <w:rFonts w:eastAsia="Calibri"/>
          <w:noProof/>
        </w:rPr>
        <w:t>Kwok T, Lee J, Woo J, et al. A randomized controlled trial of a community nurse-supported hospital discharge programme in older patients with chronic heart failure. J Clin Nurs. 2008 Jan;17(1):109-17. PMID: 18088263.</w:t>
      </w:r>
    </w:p>
    <w:p w:rsidR="00D67368" w:rsidRDefault="00D67368" w:rsidP="00D67368">
      <w:pPr>
        <w:pStyle w:val="Reference"/>
        <w:rPr>
          <w:rFonts w:eastAsia="Calibri"/>
          <w:noProof/>
        </w:rPr>
      </w:pPr>
      <w:r w:rsidRPr="007F243B">
        <w:rPr>
          <w:rFonts w:eastAsia="Calibri"/>
          <w:noProof/>
          <w:sz w:val="18"/>
        </w:rPr>
        <w:t>24.</w:t>
      </w:r>
      <w:r w:rsidRPr="007F243B">
        <w:rPr>
          <w:rFonts w:eastAsia="Calibri"/>
          <w:noProof/>
          <w:sz w:val="18"/>
        </w:rPr>
        <w:tab/>
      </w:r>
      <w:r>
        <w:rPr>
          <w:rFonts w:eastAsia="Calibri"/>
          <w:noProof/>
        </w:rPr>
        <w:t>Laramee AS, Levinsky SK, Sargent J, et al. Case management in a heterogeneous congestive heart failure population: a randomized controlled trial. Arch Intern Med. 2003 Apr 14;163(7):809-17. PMID: 12695272.</w:t>
      </w:r>
    </w:p>
    <w:p w:rsidR="00D67368" w:rsidRDefault="00D67368" w:rsidP="00D67368">
      <w:pPr>
        <w:pStyle w:val="Reference"/>
        <w:rPr>
          <w:rFonts w:eastAsia="Calibri"/>
          <w:noProof/>
        </w:rPr>
      </w:pPr>
      <w:r w:rsidRPr="007F243B">
        <w:rPr>
          <w:rFonts w:eastAsia="Calibri"/>
          <w:noProof/>
          <w:sz w:val="18"/>
        </w:rPr>
        <w:lastRenderedPageBreak/>
        <w:t>25.</w:t>
      </w:r>
      <w:r w:rsidRPr="007F243B">
        <w:rPr>
          <w:rFonts w:eastAsia="Calibri"/>
          <w:noProof/>
          <w:sz w:val="18"/>
        </w:rPr>
        <w:tab/>
      </w:r>
      <w:r>
        <w:rPr>
          <w:rFonts w:eastAsia="Calibri"/>
          <w:noProof/>
        </w:rPr>
        <w:t>Linne AB, Liedholm H. Effects of an interactive CD-program on 6 months readmission rate in patients with heart failure - a randomised, controlled trial [NCT00311194]. BMC Cardiovasc Disord. 2006;6:30. PMID: 16796760.</w:t>
      </w:r>
    </w:p>
    <w:p w:rsidR="00D67368" w:rsidRDefault="00D67368" w:rsidP="00D67368">
      <w:pPr>
        <w:pStyle w:val="Reference"/>
        <w:rPr>
          <w:rFonts w:eastAsia="Calibri"/>
          <w:noProof/>
        </w:rPr>
      </w:pPr>
      <w:r w:rsidRPr="007F243B">
        <w:rPr>
          <w:rFonts w:eastAsia="Calibri"/>
          <w:noProof/>
          <w:sz w:val="18"/>
        </w:rPr>
        <w:t>26.</w:t>
      </w:r>
      <w:r w:rsidRPr="007F243B">
        <w:rPr>
          <w:rFonts w:eastAsia="Calibri"/>
          <w:noProof/>
          <w:sz w:val="18"/>
        </w:rPr>
        <w:tab/>
      </w:r>
      <w:r>
        <w:rPr>
          <w:rFonts w:eastAsia="Calibri"/>
          <w:noProof/>
        </w:rPr>
        <w:t>Liu MH, Wang CH, Huang YY, et al. Edema index-guided disease management improves 6-month outcomes of patients with acute heart failure. Int Heart J. 2012;53(1):11-7. PMID: 22398670.</w:t>
      </w:r>
    </w:p>
    <w:p w:rsidR="00D67368" w:rsidRDefault="00D67368" w:rsidP="00D67368">
      <w:pPr>
        <w:pStyle w:val="Reference"/>
        <w:rPr>
          <w:rFonts w:eastAsia="Calibri"/>
          <w:noProof/>
        </w:rPr>
      </w:pPr>
      <w:r w:rsidRPr="007F243B">
        <w:rPr>
          <w:rFonts w:eastAsia="Calibri"/>
          <w:noProof/>
          <w:sz w:val="18"/>
        </w:rPr>
        <w:t>27.</w:t>
      </w:r>
      <w:r w:rsidRPr="007F243B">
        <w:rPr>
          <w:rFonts w:eastAsia="Calibri"/>
          <w:noProof/>
          <w:sz w:val="18"/>
        </w:rPr>
        <w:tab/>
      </w:r>
      <w:r>
        <w:rPr>
          <w:rFonts w:eastAsia="Calibri"/>
          <w:noProof/>
        </w:rPr>
        <w:t>McDonald K, Ledwidge M, Cahill J, et al. Elimination of early rehospitalization in a randomized, controlled trial of multidisciplinary care in a high-risk, elderly heart failure population: the potential contributions of specialist care, clinical stability and optimal angiotensin-converting enzyme inhibitor dose at discharge. Eur J Heart Fail. 2001 Mar;3(2):209-15. PMID: 11246059.</w:t>
      </w:r>
    </w:p>
    <w:p w:rsidR="00D67368" w:rsidRDefault="00D67368" w:rsidP="00D67368">
      <w:pPr>
        <w:pStyle w:val="Reference"/>
        <w:rPr>
          <w:rFonts w:eastAsia="Calibri"/>
          <w:noProof/>
        </w:rPr>
      </w:pPr>
      <w:r w:rsidRPr="007F243B">
        <w:rPr>
          <w:rFonts w:eastAsia="Calibri"/>
          <w:noProof/>
          <w:sz w:val="18"/>
        </w:rPr>
        <w:t>28.</w:t>
      </w:r>
      <w:r w:rsidRPr="007F243B">
        <w:rPr>
          <w:rFonts w:eastAsia="Calibri"/>
          <w:noProof/>
          <w:sz w:val="18"/>
        </w:rPr>
        <w:tab/>
      </w:r>
      <w:r>
        <w:rPr>
          <w:rFonts w:eastAsia="Calibri"/>
          <w:noProof/>
        </w:rPr>
        <w:t>McDonald K, Ledwidge M, Cahill J, et al. Heart failure management: multidisciplinary care has intrinsic benefit above the optimization of medical care. J Card Fail. 2002 Jun;8(3):142-8. PMID: 12140806.</w:t>
      </w:r>
    </w:p>
    <w:p w:rsidR="00D67368" w:rsidRDefault="00D67368" w:rsidP="00D67368">
      <w:pPr>
        <w:pStyle w:val="Reference"/>
        <w:rPr>
          <w:rFonts w:eastAsia="Calibri"/>
          <w:noProof/>
        </w:rPr>
      </w:pPr>
      <w:r w:rsidRPr="007F243B">
        <w:rPr>
          <w:rFonts w:eastAsia="Calibri"/>
          <w:noProof/>
          <w:sz w:val="18"/>
        </w:rPr>
        <w:t>29.</w:t>
      </w:r>
      <w:r w:rsidRPr="007F243B">
        <w:rPr>
          <w:rFonts w:eastAsia="Calibri"/>
          <w:noProof/>
          <w:sz w:val="18"/>
        </w:rPr>
        <w:tab/>
      </w:r>
      <w:r>
        <w:rPr>
          <w:rFonts w:eastAsia="Calibri"/>
          <w:noProof/>
        </w:rPr>
        <w:t>Ledwidge M, Barry M, Cahill J, et al. Is multidisciplinary care of heart failure cost-beneficial when combined with optimal medical care? Eur J Heart Fail. 2003(3):381-9. PMID: CN-00456908.</w:t>
      </w:r>
    </w:p>
    <w:p w:rsidR="00D67368" w:rsidRDefault="00D67368" w:rsidP="00D67368">
      <w:pPr>
        <w:pStyle w:val="Reference"/>
        <w:rPr>
          <w:rFonts w:eastAsia="Calibri"/>
          <w:noProof/>
        </w:rPr>
      </w:pPr>
      <w:r w:rsidRPr="007F243B">
        <w:rPr>
          <w:rFonts w:eastAsia="Calibri"/>
          <w:noProof/>
          <w:sz w:val="18"/>
        </w:rPr>
        <w:t>30.</w:t>
      </w:r>
      <w:r w:rsidRPr="007F243B">
        <w:rPr>
          <w:rFonts w:eastAsia="Calibri"/>
          <w:noProof/>
          <w:sz w:val="18"/>
        </w:rPr>
        <w:tab/>
      </w:r>
      <w:r>
        <w:rPr>
          <w:rFonts w:eastAsia="Calibri"/>
          <w:noProof/>
        </w:rPr>
        <w:t>Naylor MD, Brooten DA, Campbell RL, et al. Transitional care of older adults hospitalized with heart failure: a randomized, controlled trial. J Am Geriatr Soc. 2004 May;52(5):675-84. PMID: 15086645.</w:t>
      </w:r>
    </w:p>
    <w:p w:rsidR="00D67368" w:rsidRDefault="00D67368" w:rsidP="00D67368">
      <w:pPr>
        <w:pStyle w:val="Reference"/>
        <w:rPr>
          <w:rFonts w:eastAsia="Calibri"/>
          <w:noProof/>
        </w:rPr>
      </w:pPr>
      <w:r w:rsidRPr="007F243B">
        <w:rPr>
          <w:rFonts w:eastAsia="Calibri"/>
          <w:noProof/>
          <w:sz w:val="18"/>
        </w:rPr>
        <w:t>31.</w:t>
      </w:r>
      <w:r w:rsidRPr="007F243B">
        <w:rPr>
          <w:rFonts w:eastAsia="Calibri"/>
          <w:noProof/>
          <w:sz w:val="18"/>
        </w:rPr>
        <w:tab/>
      </w:r>
      <w:r>
        <w:rPr>
          <w:rFonts w:eastAsia="Calibri"/>
          <w:noProof/>
        </w:rPr>
        <w:t>Nucifora G, Albanese MC, De Biaggio P, et al. Lack of improvement of clinical outcomes by a low-cost, hospital-based heart failure management programme. J Cardiovasc Med (Hagerstown). 2006 Aug;7(8):614-22. PMID: 16858241.</w:t>
      </w:r>
    </w:p>
    <w:p w:rsidR="00D67368" w:rsidRDefault="00D67368" w:rsidP="00D67368">
      <w:pPr>
        <w:pStyle w:val="Reference"/>
        <w:rPr>
          <w:rFonts w:eastAsia="Calibri"/>
          <w:noProof/>
        </w:rPr>
      </w:pPr>
      <w:r w:rsidRPr="007F243B">
        <w:rPr>
          <w:rFonts w:eastAsia="Calibri"/>
          <w:noProof/>
          <w:sz w:val="18"/>
        </w:rPr>
        <w:t>32.</w:t>
      </w:r>
      <w:r w:rsidRPr="007F243B">
        <w:rPr>
          <w:rFonts w:eastAsia="Calibri"/>
          <w:noProof/>
          <w:sz w:val="18"/>
        </w:rPr>
        <w:tab/>
      </w:r>
      <w:r>
        <w:rPr>
          <w:rFonts w:eastAsia="Calibri"/>
          <w:noProof/>
        </w:rPr>
        <w:t>Oddone EZ, Weinberger M, Giobbie-Hurder A, et al. Enhanced access to primary care for patients with congestive heart failure. Veterans Affairs Cooperative Study Group on Primary Care and Hospital Readmission. Eff Clin Pract. 1999 Sep-Oct;2(5):201-9. PMID: 10623052.</w:t>
      </w:r>
    </w:p>
    <w:p w:rsidR="00D67368" w:rsidRDefault="00D67368" w:rsidP="00D67368">
      <w:pPr>
        <w:pStyle w:val="Reference"/>
        <w:rPr>
          <w:rFonts w:eastAsia="Calibri"/>
          <w:noProof/>
        </w:rPr>
      </w:pPr>
      <w:r w:rsidRPr="007F243B">
        <w:rPr>
          <w:rFonts w:eastAsia="Calibri"/>
          <w:noProof/>
          <w:sz w:val="18"/>
        </w:rPr>
        <w:lastRenderedPageBreak/>
        <w:t>33.</w:t>
      </w:r>
      <w:r w:rsidRPr="007F243B">
        <w:rPr>
          <w:rFonts w:eastAsia="Calibri"/>
          <w:noProof/>
          <w:sz w:val="18"/>
        </w:rPr>
        <w:tab/>
      </w:r>
      <w:r>
        <w:rPr>
          <w:rFonts w:eastAsia="Calibri"/>
          <w:noProof/>
        </w:rPr>
        <w:t>Pekmezaris R, Mitzner I, Pecinka KR, et al. The impact of remote patient monitoring (telehealth) upon Medicare beneficiaries with heart failure. Telemed J E Health. 2012 Mar;18(2):101-8. PMID: 22283360.</w:t>
      </w:r>
    </w:p>
    <w:p w:rsidR="00D67368" w:rsidRDefault="00D67368" w:rsidP="00D67368">
      <w:pPr>
        <w:pStyle w:val="Reference"/>
        <w:rPr>
          <w:rFonts w:eastAsia="Calibri"/>
          <w:noProof/>
        </w:rPr>
      </w:pPr>
      <w:r w:rsidRPr="007F243B">
        <w:rPr>
          <w:rFonts w:eastAsia="Calibri"/>
          <w:noProof/>
          <w:sz w:val="18"/>
        </w:rPr>
        <w:t>34.</w:t>
      </w:r>
      <w:r w:rsidRPr="007F243B">
        <w:rPr>
          <w:rFonts w:eastAsia="Calibri"/>
          <w:noProof/>
          <w:sz w:val="18"/>
        </w:rPr>
        <w:tab/>
      </w:r>
      <w:r>
        <w:rPr>
          <w:rFonts w:eastAsia="Calibri"/>
          <w:noProof/>
        </w:rPr>
        <w:t>Pugh LC, Havens DS, Xie S, et al. Case management for elderly persons with heart failure: the quality of life and cost outcomes. Medsurg Nurs. 2001;10(2):71-8.</w:t>
      </w:r>
    </w:p>
    <w:p w:rsidR="00D67368" w:rsidRDefault="00D67368" w:rsidP="00D67368">
      <w:pPr>
        <w:pStyle w:val="Reference"/>
        <w:rPr>
          <w:rFonts w:eastAsia="Calibri"/>
          <w:noProof/>
        </w:rPr>
      </w:pPr>
      <w:r w:rsidRPr="007F243B">
        <w:rPr>
          <w:rFonts w:eastAsia="Calibri"/>
          <w:noProof/>
          <w:sz w:val="18"/>
        </w:rPr>
        <w:t>35.</w:t>
      </w:r>
      <w:r w:rsidRPr="007F243B">
        <w:rPr>
          <w:rFonts w:eastAsia="Calibri"/>
          <w:noProof/>
          <w:sz w:val="18"/>
        </w:rPr>
        <w:tab/>
      </w:r>
      <w:r>
        <w:rPr>
          <w:rFonts w:eastAsia="Calibri"/>
          <w:noProof/>
        </w:rPr>
        <w:t>Rainville EC. Impact of pharmacist interventions on hospital readmissions for heart failure. Am J Health Syst Pharm. 1999 Jul 1;56(13):1339-42. PMID: 10683133.</w:t>
      </w:r>
    </w:p>
    <w:p w:rsidR="00D67368" w:rsidRDefault="00D67368" w:rsidP="00D67368">
      <w:pPr>
        <w:pStyle w:val="Reference"/>
        <w:rPr>
          <w:rFonts w:eastAsia="Calibri"/>
          <w:noProof/>
        </w:rPr>
      </w:pPr>
      <w:r w:rsidRPr="007F243B">
        <w:rPr>
          <w:rFonts w:eastAsia="Calibri"/>
          <w:noProof/>
          <w:sz w:val="18"/>
        </w:rPr>
        <w:t>36.</w:t>
      </w:r>
      <w:r w:rsidRPr="007F243B">
        <w:rPr>
          <w:rFonts w:eastAsia="Calibri"/>
          <w:noProof/>
          <w:sz w:val="18"/>
        </w:rPr>
        <w:tab/>
      </w:r>
      <w:r>
        <w:rPr>
          <w:rFonts w:eastAsia="Calibri"/>
          <w:noProof/>
        </w:rPr>
        <w:t>Rich MW, Vinson JM, Sperry JC, et al. Prevention of readmission in elderly patients with congestive heart failure: results of a prospective, randomized pilot study. J Gen Intern Med. 1993 Nov;8(11):585-90. PMID: 8289096.</w:t>
      </w:r>
    </w:p>
    <w:p w:rsidR="00D67368" w:rsidRDefault="00D67368" w:rsidP="00D67368">
      <w:pPr>
        <w:pStyle w:val="Reference"/>
        <w:rPr>
          <w:rFonts w:eastAsia="Calibri"/>
          <w:noProof/>
        </w:rPr>
      </w:pPr>
      <w:r w:rsidRPr="007F243B">
        <w:rPr>
          <w:rFonts w:eastAsia="Calibri"/>
          <w:noProof/>
          <w:sz w:val="18"/>
        </w:rPr>
        <w:t>37.</w:t>
      </w:r>
      <w:r w:rsidRPr="007F243B">
        <w:rPr>
          <w:rFonts w:eastAsia="Calibri"/>
          <w:noProof/>
          <w:sz w:val="18"/>
        </w:rPr>
        <w:tab/>
      </w:r>
      <w:r>
        <w:rPr>
          <w:rFonts w:eastAsia="Calibri"/>
          <w:noProof/>
        </w:rPr>
        <w:t>Rich MW, Beckham V, Wittenberg C, et al. A multidisciplinary intervention to prevent the readmission of elderly patients with congestive heart failure. N Engl J Med. 1995 Nov 2;333(18):1190-5. PMID: 7565975.</w:t>
      </w:r>
    </w:p>
    <w:p w:rsidR="00D67368" w:rsidRDefault="00D67368" w:rsidP="00D67368">
      <w:pPr>
        <w:pStyle w:val="Reference"/>
        <w:rPr>
          <w:rFonts w:eastAsia="Calibri"/>
          <w:noProof/>
        </w:rPr>
      </w:pPr>
      <w:r w:rsidRPr="007F243B">
        <w:rPr>
          <w:rFonts w:eastAsia="Calibri"/>
          <w:noProof/>
          <w:sz w:val="18"/>
        </w:rPr>
        <w:t>38.</w:t>
      </w:r>
      <w:r w:rsidRPr="007F243B">
        <w:rPr>
          <w:rFonts w:eastAsia="Calibri"/>
          <w:noProof/>
          <w:sz w:val="18"/>
        </w:rPr>
        <w:tab/>
      </w:r>
      <w:r>
        <w:rPr>
          <w:rFonts w:eastAsia="Calibri"/>
          <w:noProof/>
        </w:rPr>
        <w:t>Riegel B, Carlson B, Kopp Z, et al. Effect of a standardized nurse case-management telephone intervention on resource use in patients with chronic heart failure. Arch Intern Med. 2002 Mar 25;162(6):705-12. PMID: 11911726.</w:t>
      </w:r>
    </w:p>
    <w:p w:rsidR="00D67368" w:rsidRDefault="00D67368" w:rsidP="00D67368">
      <w:pPr>
        <w:pStyle w:val="Reference"/>
        <w:rPr>
          <w:rFonts w:eastAsia="Calibri"/>
          <w:noProof/>
        </w:rPr>
      </w:pPr>
      <w:r w:rsidRPr="007F243B">
        <w:rPr>
          <w:rFonts w:eastAsia="Calibri"/>
          <w:noProof/>
          <w:sz w:val="18"/>
        </w:rPr>
        <w:t>39.</w:t>
      </w:r>
      <w:r w:rsidRPr="007F243B">
        <w:rPr>
          <w:rFonts w:eastAsia="Calibri"/>
          <w:noProof/>
          <w:sz w:val="18"/>
        </w:rPr>
        <w:tab/>
      </w:r>
      <w:r>
        <w:rPr>
          <w:rFonts w:eastAsia="Calibri"/>
          <w:noProof/>
        </w:rPr>
        <w:t>Riegel B, Carlson B. Is individual peer support a promising intervention for persons with heart failure? J Cardiovasc Nurs. 2004 May-Jun;19(3):174-83. PMID: 15191260.</w:t>
      </w:r>
    </w:p>
    <w:p w:rsidR="00D67368" w:rsidRDefault="00D67368" w:rsidP="00D67368">
      <w:pPr>
        <w:pStyle w:val="Reference"/>
        <w:rPr>
          <w:rFonts w:eastAsia="Calibri"/>
          <w:noProof/>
        </w:rPr>
      </w:pPr>
      <w:r w:rsidRPr="007F243B">
        <w:rPr>
          <w:rFonts w:eastAsia="Calibri"/>
          <w:noProof/>
          <w:sz w:val="18"/>
        </w:rPr>
        <w:t>40.</w:t>
      </w:r>
      <w:r w:rsidRPr="007F243B">
        <w:rPr>
          <w:rFonts w:eastAsia="Calibri"/>
          <w:noProof/>
          <w:sz w:val="18"/>
        </w:rPr>
        <w:tab/>
      </w:r>
      <w:r>
        <w:rPr>
          <w:rFonts w:eastAsia="Calibri"/>
          <w:noProof/>
        </w:rPr>
        <w:t>Riegel B, Carlson B, Glaser D, et al. Randomized controlled trial of telephone case management in Hispanics of Mexican origin with heart failure. J Card Fail. 2006 Apr;12(3):211-9. PMID: 16624687.</w:t>
      </w:r>
    </w:p>
    <w:p w:rsidR="00D67368" w:rsidRDefault="00D67368" w:rsidP="00D67368">
      <w:pPr>
        <w:pStyle w:val="Reference"/>
        <w:rPr>
          <w:rFonts w:eastAsia="Calibri"/>
          <w:noProof/>
        </w:rPr>
      </w:pPr>
      <w:r w:rsidRPr="007F243B">
        <w:rPr>
          <w:rFonts w:eastAsia="Calibri"/>
          <w:noProof/>
          <w:sz w:val="18"/>
        </w:rPr>
        <w:t>41.</w:t>
      </w:r>
      <w:r w:rsidRPr="007F243B">
        <w:rPr>
          <w:rFonts w:eastAsia="Calibri"/>
          <w:noProof/>
          <w:sz w:val="18"/>
        </w:rPr>
        <w:tab/>
      </w:r>
      <w:r>
        <w:rPr>
          <w:rFonts w:eastAsia="Calibri"/>
          <w:noProof/>
        </w:rPr>
        <w:t>Schwarz KA, Mion LC, Hudock D, et al. Telemonitoring of heart failure patients and their caregivers: a pilot randomized controlled trial. Prog Cardiovasc Nurs. 2008 Winter;23(1):18-26. PMID: 18326990.</w:t>
      </w:r>
    </w:p>
    <w:p w:rsidR="00D67368" w:rsidRDefault="00D67368" w:rsidP="00D67368">
      <w:pPr>
        <w:pStyle w:val="Reference"/>
        <w:rPr>
          <w:rFonts w:eastAsia="Calibri"/>
          <w:noProof/>
        </w:rPr>
      </w:pPr>
      <w:r w:rsidRPr="007F243B">
        <w:rPr>
          <w:rFonts w:eastAsia="Calibri"/>
          <w:noProof/>
          <w:sz w:val="18"/>
        </w:rPr>
        <w:t>42.</w:t>
      </w:r>
      <w:r w:rsidRPr="007F243B">
        <w:rPr>
          <w:rFonts w:eastAsia="Calibri"/>
          <w:noProof/>
          <w:sz w:val="18"/>
        </w:rPr>
        <w:tab/>
      </w:r>
      <w:r>
        <w:rPr>
          <w:rFonts w:eastAsia="Calibri"/>
          <w:noProof/>
        </w:rPr>
        <w:t>Sethares KA, Elliott K. The effect of a tailored message intervention on heart failure readmission rates, quality of life, and benefit and barrier beliefs in persons with heart failure. Heart Lung. 2004 Jul-Aug;33(4):249-60. PMID: 15252415.</w:t>
      </w:r>
    </w:p>
    <w:p w:rsidR="00D67368" w:rsidRDefault="00D67368" w:rsidP="00D67368">
      <w:pPr>
        <w:pStyle w:val="Reference"/>
        <w:rPr>
          <w:rFonts w:eastAsia="Calibri"/>
          <w:noProof/>
        </w:rPr>
      </w:pPr>
      <w:r w:rsidRPr="007F243B">
        <w:rPr>
          <w:rFonts w:eastAsia="Calibri"/>
          <w:noProof/>
          <w:sz w:val="18"/>
        </w:rPr>
        <w:lastRenderedPageBreak/>
        <w:t>43.</w:t>
      </w:r>
      <w:r w:rsidRPr="007F243B">
        <w:rPr>
          <w:rFonts w:eastAsia="Calibri"/>
          <w:noProof/>
          <w:sz w:val="18"/>
        </w:rPr>
        <w:tab/>
      </w:r>
      <w:r>
        <w:rPr>
          <w:rFonts w:eastAsia="Calibri"/>
          <w:noProof/>
        </w:rPr>
        <w:t>Stewart S, Pearson S, Horowitz JD. Effects of a home-based intervention among patients with congestive heart failure discharged from acute hospital care. Arch Intern Med. 1998 May 25;158(10):1067-72. PMID: 9605777.</w:t>
      </w:r>
    </w:p>
    <w:p w:rsidR="00D67368" w:rsidRDefault="00D67368" w:rsidP="00D67368">
      <w:pPr>
        <w:pStyle w:val="Reference"/>
        <w:rPr>
          <w:rFonts w:eastAsia="Calibri"/>
          <w:noProof/>
        </w:rPr>
      </w:pPr>
      <w:r w:rsidRPr="007F243B">
        <w:rPr>
          <w:rFonts w:eastAsia="Calibri"/>
          <w:noProof/>
          <w:sz w:val="18"/>
        </w:rPr>
        <w:t>44.</w:t>
      </w:r>
      <w:r w:rsidRPr="007F243B">
        <w:rPr>
          <w:rFonts w:eastAsia="Calibri"/>
          <w:noProof/>
          <w:sz w:val="18"/>
        </w:rPr>
        <w:tab/>
      </w:r>
      <w:r>
        <w:rPr>
          <w:rFonts w:eastAsia="Calibri"/>
          <w:noProof/>
        </w:rPr>
        <w:t>Stewart S, Marley JE, Horowitz JD. Effects of a multidisciplinary, home-based intervention on unplanned readmissions and survival among patients with chronic congestive heart failure: a randomised controlled study. Lancet. 1999 Sep 25;354(9184):1077-83. PMID: 10509499.</w:t>
      </w:r>
    </w:p>
    <w:p w:rsidR="00D67368" w:rsidRDefault="00D67368" w:rsidP="00D67368">
      <w:pPr>
        <w:pStyle w:val="Reference"/>
        <w:rPr>
          <w:rFonts w:eastAsia="Calibri"/>
          <w:noProof/>
        </w:rPr>
      </w:pPr>
      <w:r w:rsidRPr="007F243B">
        <w:rPr>
          <w:rFonts w:eastAsia="Calibri"/>
          <w:noProof/>
          <w:sz w:val="18"/>
        </w:rPr>
        <w:t>45.</w:t>
      </w:r>
      <w:r w:rsidRPr="007F243B">
        <w:rPr>
          <w:rFonts w:eastAsia="Calibri"/>
          <w:noProof/>
          <w:sz w:val="18"/>
        </w:rPr>
        <w:tab/>
      </w:r>
      <w:r>
        <w:rPr>
          <w:rFonts w:eastAsia="Calibri"/>
          <w:noProof/>
        </w:rPr>
        <w:t>Stromberg A, Martensson J, Fridlund B, et al. Nurse-led heart failure clinics improve survival and self-care behaviour in patients with heart failure: results from a prospective, randomised trial. Eur Heart J. 2003 Jun;24(11):1014-23. PMID: 12788301.</w:t>
      </w:r>
    </w:p>
    <w:p w:rsidR="00D67368" w:rsidRDefault="00D67368" w:rsidP="00D67368">
      <w:pPr>
        <w:pStyle w:val="Reference"/>
        <w:rPr>
          <w:rFonts w:eastAsia="Calibri"/>
          <w:noProof/>
        </w:rPr>
      </w:pPr>
      <w:r w:rsidRPr="007F243B">
        <w:rPr>
          <w:rFonts w:eastAsia="Calibri"/>
          <w:noProof/>
          <w:sz w:val="18"/>
        </w:rPr>
        <w:t>46.</w:t>
      </w:r>
      <w:r w:rsidRPr="007F243B">
        <w:rPr>
          <w:rFonts w:eastAsia="Calibri"/>
          <w:noProof/>
          <w:sz w:val="18"/>
        </w:rPr>
        <w:tab/>
      </w:r>
      <w:r>
        <w:rPr>
          <w:rFonts w:eastAsia="Calibri"/>
          <w:noProof/>
        </w:rPr>
        <w:t>Thompson DR, Roebuck A, Stewart S. Effects of a nurse-led, clinic and home-based intervention on recurrent hospital use in chronic heart failure. Eur J Heart Fail. 2005 Mar 16;7(3):377-84. PMID: 15718178.</w:t>
      </w:r>
    </w:p>
    <w:p w:rsidR="00D67368" w:rsidRDefault="00D67368" w:rsidP="00D67368">
      <w:pPr>
        <w:pStyle w:val="Reference"/>
        <w:rPr>
          <w:rFonts w:eastAsia="Calibri"/>
          <w:noProof/>
        </w:rPr>
      </w:pPr>
      <w:r w:rsidRPr="007F243B">
        <w:rPr>
          <w:rFonts w:eastAsia="Calibri"/>
          <w:noProof/>
          <w:sz w:val="18"/>
        </w:rPr>
        <w:t>47.</w:t>
      </w:r>
      <w:r w:rsidRPr="007F243B">
        <w:rPr>
          <w:rFonts w:eastAsia="Calibri"/>
          <w:noProof/>
          <w:sz w:val="18"/>
        </w:rPr>
        <w:tab/>
      </w:r>
      <w:r>
        <w:rPr>
          <w:rFonts w:eastAsia="Calibri"/>
          <w:noProof/>
        </w:rPr>
        <w:t>Triller DM, Hamilton RA. Effect of pharmaceutical care services on outcomes for home care patients with heart failure. Am J Health Syst Pharm. 2007 Nov 1;64(21):2244-9. PMID: 17959576.</w:t>
      </w:r>
    </w:p>
    <w:p w:rsidR="00D67368" w:rsidRDefault="00D67368" w:rsidP="00D67368">
      <w:pPr>
        <w:pStyle w:val="Reference"/>
        <w:rPr>
          <w:rFonts w:eastAsia="Calibri"/>
          <w:noProof/>
        </w:rPr>
      </w:pPr>
      <w:r w:rsidRPr="007F243B">
        <w:rPr>
          <w:rFonts w:eastAsia="Calibri"/>
          <w:noProof/>
          <w:sz w:val="18"/>
        </w:rPr>
        <w:t>48.</w:t>
      </w:r>
      <w:r w:rsidRPr="007F243B">
        <w:rPr>
          <w:rFonts w:eastAsia="Calibri"/>
          <w:noProof/>
          <w:sz w:val="18"/>
        </w:rPr>
        <w:tab/>
      </w:r>
      <w:r>
        <w:rPr>
          <w:rFonts w:eastAsia="Calibri"/>
          <w:noProof/>
        </w:rPr>
        <w:t>Tsuyuki RT, Fradette M, Johnson JA, et al. A multicenter disease management program for hospitalized patients with heart failure. J Card Fail. 2004 Dec;10(6):473-80. PMID: 15599837.</w:t>
      </w:r>
    </w:p>
    <w:p w:rsidR="00D67368" w:rsidRDefault="00D67368" w:rsidP="00D67368">
      <w:pPr>
        <w:pStyle w:val="Reference"/>
        <w:rPr>
          <w:rFonts w:eastAsia="Calibri"/>
          <w:noProof/>
        </w:rPr>
      </w:pPr>
      <w:r w:rsidRPr="007F243B">
        <w:rPr>
          <w:rFonts w:eastAsia="Calibri"/>
          <w:noProof/>
          <w:sz w:val="18"/>
        </w:rPr>
        <w:t>49.</w:t>
      </w:r>
      <w:r w:rsidRPr="007F243B">
        <w:rPr>
          <w:rFonts w:eastAsia="Calibri"/>
          <w:noProof/>
          <w:sz w:val="18"/>
        </w:rPr>
        <w:tab/>
      </w:r>
      <w:r>
        <w:rPr>
          <w:rFonts w:eastAsia="Calibri"/>
          <w:noProof/>
        </w:rPr>
        <w:t>Wakefield BJ, Ward MM, Holman JE, et al. Evaluation of home telehealth following hospitalization for heart failure: a randomized trial. Telemed J E Health. 2008 Oct;14(8):753-61. PMID: 18954244.</w:t>
      </w:r>
    </w:p>
    <w:p w:rsidR="00D67368" w:rsidRDefault="00D67368" w:rsidP="00D67368">
      <w:pPr>
        <w:pStyle w:val="Reference"/>
        <w:rPr>
          <w:rFonts w:eastAsia="Calibri"/>
          <w:noProof/>
        </w:rPr>
      </w:pPr>
      <w:r w:rsidRPr="007F243B">
        <w:rPr>
          <w:rFonts w:eastAsia="Calibri"/>
          <w:noProof/>
          <w:sz w:val="18"/>
        </w:rPr>
        <w:t>50.</w:t>
      </w:r>
      <w:r w:rsidRPr="007F243B">
        <w:rPr>
          <w:rFonts w:eastAsia="Calibri"/>
          <w:noProof/>
          <w:sz w:val="18"/>
        </w:rPr>
        <w:tab/>
      </w:r>
      <w:r>
        <w:rPr>
          <w:rFonts w:eastAsia="Calibri"/>
          <w:noProof/>
        </w:rPr>
        <w:t>Wakefield BJ, Holman JE, Ray A, et al. Outcomes of a home telehealth intervention for patients with heart failure. J Telemed Telecare. 2009;15(1):46-50. PMID: 19139220.</w:t>
      </w:r>
    </w:p>
    <w:p w:rsidR="00D67368" w:rsidRDefault="00D67368" w:rsidP="00D67368">
      <w:pPr>
        <w:pStyle w:val="Reference"/>
        <w:rPr>
          <w:rFonts w:eastAsia="Calibri"/>
          <w:noProof/>
        </w:rPr>
      </w:pPr>
      <w:r w:rsidRPr="007F243B">
        <w:rPr>
          <w:rFonts w:eastAsia="Calibri"/>
          <w:noProof/>
          <w:sz w:val="18"/>
        </w:rPr>
        <w:t>51.</w:t>
      </w:r>
      <w:r w:rsidRPr="007F243B">
        <w:rPr>
          <w:rFonts w:eastAsia="Calibri"/>
          <w:noProof/>
          <w:sz w:val="18"/>
        </w:rPr>
        <w:tab/>
      </w:r>
      <w:r>
        <w:rPr>
          <w:rFonts w:eastAsia="Calibri"/>
          <w:noProof/>
        </w:rPr>
        <w:t>Woodend AK, Sherrard H, Fraser M, et al. Telehome monitoring in patients with cardiac disease who are at high risk of readmission. Heart Lung. 2008 Jan-</w:t>
      </w:r>
      <w:r w:rsidR="008F37FA">
        <w:rPr>
          <w:rFonts w:eastAsia="Calibri"/>
          <w:noProof/>
        </w:rPr>
        <w:t>Feb;37(1):36-45. PMID: 18206525</w:t>
      </w:r>
    </w:p>
    <w:p w:rsidR="008F37FA" w:rsidRDefault="008F37FA" w:rsidP="00D67368">
      <w:pPr>
        <w:pStyle w:val="Reference"/>
        <w:rPr>
          <w:rFonts w:eastAsia="Calibri"/>
          <w:noProof/>
        </w:rPr>
      </w:pPr>
    </w:p>
    <w:sectPr w:rsidR="008F37FA" w:rsidSect="008F37FA">
      <w:footerReference w:type="default" r:id="rId12"/>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B8" w:rsidRDefault="00DC43B8">
      <w:r>
        <w:separator/>
      </w:r>
    </w:p>
  </w:endnote>
  <w:endnote w:type="continuationSeparator" w:id="0">
    <w:p w:rsidR="00DC43B8" w:rsidRDefault="00DC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37515"/>
      <w:docPartObj>
        <w:docPartGallery w:val="Page Numbers (Bottom of Page)"/>
        <w:docPartUnique/>
      </w:docPartObj>
    </w:sdtPr>
    <w:sdtEndPr>
      <w:rPr>
        <w:noProof/>
      </w:rPr>
    </w:sdtEndPr>
    <w:sdtContent>
      <w:p w:rsidR="003E2CCE" w:rsidRDefault="003E2CCE">
        <w:pPr>
          <w:pStyle w:val="Footer"/>
          <w:jc w:val="center"/>
        </w:pPr>
        <w:r>
          <w:t>D-</w:t>
        </w:r>
        <w:r>
          <w:fldChar w:fldCharType="begin"/>
        </w:r>
        <w:r>
          <w:instrText xml:space="preserve"> PAGE   \* MERGEFORMAT </w:instrText>
        </w:r>
        <w:r>
          <w:fldChar w:fldCharType="separate"/>
        </w:r>
        <w:r w:rsidR="008F37FA">
          <w:rPr>
            <w:noProof/>
          </w:rPr>
          <w:t>1</w:t>
        </w:r>
        <w:r>
          <w:rPr>
            <w:noProof/>
          </w:rPr>
          <w:fldChar w:fldCharType="end"/>
        </w:r>
      </w:p>
    </w:sdtContent>
  </w:sdt>
  <w:p w:rsidR="003E2CCE" w:rsidRDefault="003E2CCE" w:rsidP="00D6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CE" w:rsidRDefault="003E2CCE">
    <w:pPr>
      <w:pStyle w:val="PageNumber"/>
    </w:pPr>
    <w:r>
      <w:t>D-</w:t>
    </w:r>
    <w:r>
      <w:fldChar w:fldCharType="begin"/>
    </w:r>
    <w:r>
      <w:instrText xml:space="preserve"> PAGE   \* MERGEFORMAT </w:instrText>
    </w:r>
    <w:r>
      <w:fldChar w:fldCharType="separate"/>
    </w:r>
    <w:r w:rsidR="008F37FA">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36412"/>
      <w:docPartObj>
        <w:docPartGallery w:val="Page Numbers (Bottom of Page)"/>
        <w:docPartUnique/>
      </w:docPartObj>
    </w:sdtPr>
    <w:sdtEndPr>
      <w:rPr>
        <w:noProof/>
      </w:rPr>
    </w:sdtEndPr>
    <w:sdtContent>
      <w:p w:rsidR="003E2CCE" w:rsidRDefault="008F37FA">
        <w:pPr>
          <w:pStyle w:val="Footer"/>
          <w:jc w:val="center"/>
        </w:pPr>
        <w:r>
          <w:t>D</w:t>
        </w:r>
        <w:r w:rsidR="003E2CCE">
          <w:t>-</w:t>
        </w:r>
        <w:r w:rsidR="003E2CCE">
          <w:fldChar w:fldCharType="begin"/>
        </w:r>
        <w:r w:rsidR="003E2CCE">
          <w:instrText xml:space="preserve"> PAGE   \* MERGEFORMAT </w:instrText>
        </w:r>
        <w:r w:rsidR="003E2CCE">
          <w:fldChar w:fldCharType="separate"/>
        </w:r>
        <w:r>
          <w:rPr>
            <w:noProof/>
          </w:rPr>
          <w:t>23</w:t>
        </w:r>
        <w:r w:rsidR="003E2CCE">
          <w:rPr>
            <w:noProof/>
          </w:rPr>
          <w:fldChar w:fldCharType="end"/>
        </w:r>
      </w:p>
    </w:sdtContent>
  </w:sdt>
  <w:p w:rsidR="003E2CCE" w:rsidRDefault="003E2CCE" w:rsidP="00D67368">
    <w:pPr>
      <w:pStyle w:val="PageNumb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B8" w:rsidRDefault="00DC43B8">
      <w:r>
        <w:separator/>
      </w:r>
    </w:p>
  </w:footnote>
  <w:footnote w:type="continuationSeparator" w:id="0">
    <w:p w:rsidR="00DC43B8" w:rsidRDefault="00DC4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CE" w:rsidRDefault="003E2C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81F"/>
    <w:multiLevelType w:val="hybridMultilevel"/>
    <w:tmpl w:val="DCB0EA3C"/>
    <w:lvl w:ilvl="0" w:tplc="93C8D150">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B54BD3"/>
    <w:multiLevelType w:val="hybridMultilevel"/>
    <w:tmpl w:val="586ECDD6"/>
    <w:lvl w:ilvl="0" w:tplc="5F408E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AF52D3"/>
    <w:multiLevelType w:val="hybridMultilevel"/>
    <w:tmpl w:val="B9744ACA"/>
    <w:lvl w:ilvl="0" w:tplc="ADCE5286">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07859"/>
    <w:multiLevelType w:val="hybridMultilevel"/>
    <w:tmpl w:val="6C209508"/>
    <w:lvl w:ilvl="0" w:tplc="5F408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70181"/>
    <w:multiLevelType w:val="hybridMultilevel"/>
    <w:tmpl w:val="9E523F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6C5DB8"/>
    <w:multiLevelType w:val="hybridMultilevel"/>
    <w:tmpl w:val="26B8A62E"/>
    <w:lvl w:ilvl="0" w:tplc="5F408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C2B24"/>
    <w:multiLevelType w:val="hybridMultilevel"/>
    <w:tmpl w:val="814EFB32"/>
    <w:lvl w:ilvl="0" w:tplc="5F408E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329DE"/>
    <w:multiLevelType w:val="hybridMultilevel"/>
    <w:tmpl w:val="2DFA416C"/>
    <w:lvl w:ilvl="0" w:tplc="3044FF04">
      <w:start w:val="1"/>
      <w:numFmt w:val="bullet"/>
      <w:pStyle w:val="text-bullets4"/>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978DA"/>
    <w:multiLevelType w:val="hybridMultilevel"/>
    <w:tmpl w:val="E006C19C"/>
    <w:lvl w:ilvl="0" w:tplc="33CC9BFA">
      <w:start w:val="1"/>
      <w:numFmt w:val="bullet"/>
      <w:pStyle w:val="TableBullet2"/>
      <w:lvlText w:val="-"/>
      <w:lvlJc w:val="left"/>
      <w:pPr>
        <w:ind w:left="1094" w:hanging="360"/>
      </w:pPr>
      <w:rPr>
        <w:rFonts w:ascii="Courier New" w:hAnsi="Courier New"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1">
    <w:nsid w:val="2CC77EEA"/>
    <w:multiLevelType w:val="hybridMultilevel"/>
    <w:tmpl w:val="EAE4E488"/>
    <w:lvl w:ilvl="0" w:tplc="5F408E2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75CE8"/>
    <w:multiLevelType w:val="hybridMultilevel"/>
    <w:tmpl w:val="6EEA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C7306"/>
    <w:multiLevelType w:val="hybridMultilevel"/>
    <w:tmpl w:val="EF24E274"/>
    <w:lvl w:ilvl="0" w:tplc="04090003">
      <w:start w:val="1"/>
      <w:numFmt w:val="bullet"/>
      <w:lvlText w:val="o"/>
      <w:lvlJc w:val="left"/>
      <w:pPr>
        <w:ind w:left="720" w:hanging="360"/>
      </w:pPr>
      <w:rPr>
        <w:rFonts w:ascii="Courier New" w:hAnsi="Courier New" w:cs="Courier New"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F3E7E24"/>
    <w:multiLevelType w:val="multilevel"/>
    <w:tmpl w:val="FA32F59E"/>
    <w:lvl w:ilvl="0">
      <w:start w:val="1"/>
      <w:numFmt w:val="lowerLetter"/>
      <w:pStyle w:val="kqstem-sub1"/>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cs="Times New Roman" w:hint="default"/>
      </w:rPr>
    </w:lvl>
    <w:lvl w:ilvl="2">
      <w:start w:val="1"/>
      <w:numFmt w:val="lowerLetter"/>
      <w:lvlText w:val="%3."/>
      <w:lvlJc w:val="left"/>
      <w:pPr>
        <w:tabs>
          <w:tab w:val="num" w:pos="1890"/>
        </w:tabs>
        <w:ind w:left="1890" w:hanging="360"/>
      </w:pPr>
    </w:lvl>
    <w:lvl w:ilvl="3">
      <w:start w:val="1"/>
      <w:numFmt w:val="lowerLetter"/>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Letter"/>
      <w:lvlText w:val="%6."/>
      <w:lvlJc w:val="left"/>
      <w:pPr>
        <w:tabs>
          <w:tab w:val="num" w:pos="4050"/>
        </w:tabs>
        <w:ind w:left="4050" w:hanging="360"/>
      </w:pPr>
    </w:lvl>
    <w:lvl w:ilvl="6">
      <w:start w:val="1"/>
      <w:numFmt w:val="lowerLetter"/>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Letter"/>
      <w:lvlText w:val="%9."/>
      <w:lvlJc w:val="left"/>
      <w:pPr>
        <w:tabs>
          <w:tab w:val="num" w:pos="6210"/>
        </w:tabs>
        <w:ind w:left="6210" w:hanging="360"/>
      </w:pPr>
    </w:lvl>
  </w:abstractNum>
  <w:abstractNum w:abstractNumId="15">
    <w:nsid w:val="40606826"/>
    <w:multiLevelType w:val="hybridMultilevel"/>
    <w:tmpl w:val="AAB08C0E"/>
    <w:lvl w:ilvl="0" w:tplc="5F408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F781E"/>
    <w:multiLevelType w:val="hybridMultilevel"/>
    <w:tmpl w:val="141015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7F11EB3"/>
    <w:multiLevelType w:val="hybridMultilevel"/>
    <w:tmpl w:val="17EE73D0"/>
    <w:lvl w:ilvl="0" w:tplc="6A825706">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A92CD5"/>
    <w:multiLevelType w:val="hybridMultilevel"/>
    <w:tmpl w:val="6C22D60C"/>
    <w:lvl w:ilvl="0" w:tplc="5F408E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C87F08"/>
    <w:multiLevelType w:val="hybridMultilevel"/>
    <w:tmpl w:val="46E88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334D3A"/>
    <w:multiLevelType w:val="hybridMultilevel"/>
    <w:tmpl w:val="CDD03084"/>
    <w:lvl w:ilvl="0" w:tplc="5F408E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10255CE"/>
    <w:multiLevelType w:val="hybridMultilevel"/>
    <w:tmpl w:val="D03646D4"/>
    <w:lvl w:ilvl="0" w:tplc="E4621A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A93597C"/>
    <w:multiLevelType w:val="hybridMultilevel"/>
    <w:tmpl w:val="067E6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C4553"/>
    <w:multiLevelType w:val="hybridMultilevel"/>
    <w:tmpl w:val="6E181314"/>
    <w:lvl w:ilvl="0" w:tplc="5F408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03EB2"/>
    <w:multiLevelType w:val="hybridMultilevel"/>
    <w:tmpl w:val="0216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6B7E0D"/>
    <w:multiLevelType w:val="hybridMultilevel"/>
    <w:tmpl w:val="17C4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9"/>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9"/>
  </w:num>
  <w:num w:numId="7">
    <w:abstractNumId w:val="28"/>
  </w:num>
  <w:num w:numId="8">
    <w:abstractNumId w:val="10"/>
  </w:num>
  <w:num w:numId="9">
    <w:abstractNumId w:val="17"/>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1"/>
  </w:num>
  <w:num w:numId="16">
    <w:abstractNumId w:val="2"/>
  </w:num>
  <w:num w:numId="17">
    <w:abstractNumId w:val="6"/>
  </w:num>
  <w:num w:numId="18">
    <w:abstractNumId w:val="15"/>
  </w:num>
  <w:num w:numId="19">
    <w:abstractNumId w:val="13"/>
  </w:num>
  <w:num w:numId="20">
    <w:abstractNumId w:val="27"/>
  </w:num>
  <w:num w:numId="21">
    <w:abstractNumId w:val="1"/>
  </w:num>
  <w:num w:numId="22">
    <w:abstractNumId w:val="7"/>
  </w:num>
  <w:num w:numId="23">
    <w:abstractNumId w:val="18"/>
  </w:num>
  <w:num w:numId="24">
    <w:abstractNumId w:val="23"/>
  </w:num>
  <w:num w:numId="25">
    <w:abstractNumId w:val="25"/>
  </w:num>
  <w:num w:numId="26">
    <w:abstractNumId w:val="26"/>
  </w:num>
  <w:num w:numId="27">
    <w:abstractNumId w:val="4"/>
  </w:num>
  <w:num w:numId="28">
    <w:abstractNumId w:val="21"/>
  </w:num>
  <w:num w:numId="29">
    <w:abstractNumId w:val="20"/>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fawwea5vdpsadzet2e4p29tqwaddxdf5zrfz&quot;&gt;HF CER Master Database_Update Search_10.30.13 Copy_jcm&lt;record-ids&gt;&lt;item&gt;1&lt;/item&gt;&lt;item&gt;20&lt;/item&gt;&lt;item&gt;66&lt;/item&gt;&lt;item&gt;568&lt;/item&gt;&lt;item&gt;581&lt;/item&gt;&lt;item&gt;732&lt;/item&gt;&lt;item&gt;749&lt;/item&gt;&lt;item&gt;877&lt;/item&gt;&lt;item&gt;878&lt;/item&gt;&lt;item&gt;879&lt;/item&gt;&lt;item&gt;881&lt;/item&gt;&lt;item&gt;887&lt;/item&gt;&lt;item&gt;899&lt;/item&gt;&lt;item&gt;901&lt;/item&gt;&lt;item&gt;902&lt;/item&gt;&lt;item&gt;903&lt;/item&gt;&lt;item&gt;904&lt;/item&gt;&lt;item&gt;905&lt;/item&gt;&lt;item&gt;906&lt;/item&gt;&lt;item&gt;907&lt;/item&gt;&lt;item&gt;909&lt;/item&gt;&lt;item&gt;910&lt;/item&gt;&lt;item&gt;911&lt;/item&gt;&lt;item&gt;913&lt;/item&gt;&lt;item&gt;914&lt;/item&gt;&lt;item&gt;915&lt;/item&gt;&lt;item&gt;918&lt;/item&gt;&lt;item&gt;926&lt;/item&gt;&lt;item&gt;928&lt;/item&gt;&lt;item&gt;929&lt;/item&gt;&lt;item&gt;931&lt;/item&gt;&lt;item&gt;932&lt;/item&gt;&lt;item&gt;933&lt;/item&gt;&lt;item&gt;934&lt;/item&gt;&lt;item&gt;2972&lt;/item&gt;&lt;item&gt;3057&lt;/item&gt;&lt;item&gt;3093&lt;/item&gt;&lt;item&gt;3144&lt;/item&gt;&lt;item&gt;3155&lt;/item&gt;&lt;item&gt;3490&lt;/item&gt;&lt;item&gt;3491&lt;/item&gt;&lt;item&gt;3493&lt;/item&gt;&lt;item&gt;3494&lt;/item&gt;&lt;/record-ids&gt;&lt;/item&gt;&lt;/Libraries&gt;"/>
  </w:docVars>
  <w:rsids>
    <w:rsidRoot w:val="005E3AF7"/>
    <w:rsid w:val="00006EEB"/>
    <w:rsid w:val="00010679"/>
    <w:rsid w:val="0001450B"/>
    <w:rsid w:val="00015F60"/>
    <w:rsid w:val="00030532"/>
    <w:rsid w:val="00032757"/>
    <w:rsid w:val="00040C9D"/>
    <w:rsid w:val="00042B3B"/>
    <w:rsid w:val="000439B1"/>
    <w:rsid w:val="000523F7"/>
    <w:rsid w:val="00052A2B"/>
    <w:rsid w:val="00064524"/>
    <w:rsid w:val="00072160"/>
    <w:rsid w:val="00095B26"/>
    <w:rsid w:val="000A6733"/>
    <w:rsid w:val="000C249B"/>
    <w:rsid w:val="000C5867"/>
    <w:rsid w:val="000D36DC"/>
    <w:rsid w:val="000E4241"/>
    <w:rsid w:val="000E45B4"/>
    <w:rsid w:val="000F0374"/>
    <w:rsid w:val="00102E8D"/>
    <w:rsid w:val="00104F46"/>
    <w:rsid w:val="00110685"/>
    <w:rsid w:val="0011239C"/>
    <w:rsid w:val="00120521"/>
    <w:rsid w:val="001249BE"/>
    <w:rsid w:val="00124D10"/>
    <w:rsid w:val="00130FA7"/>
    <w:rsid w:val="00135477"/>
    <w:rsid w:val="00141DAA"/>
    <w:rsid w:val="00143BE8"/>
    <w:rsid w:val="001470BA"/>
    <w:rsid w:val="001514FD"/>
    <w:rsid w:val="00153571"/>
    <w:rsid w:val="0015751D"/>
    <w:rsid w:val="001641F5"/>
    <w:rsid w:val="0016595E"/>
    <w:rsid w:val="0019091D"/>
    <w:rsid w:val="00194303"/>
    <w:rsid w:val="00194D96"/>
    <w:rsid w:val="001A45D0"/>
    <w:rsid w:val="001B0A88"/>
    <w:rsid w:val="001C2096"/>
    <w:rsid w:val="001E293E"/>
    <w:rsid w:val="001E2B50"/>
    <w:rsid w:val="001E4DE0"/>
    <w:rsid w:val="001F6246"/>
    <w:rsid w:val="001F7C21"/>
    <w:rsid w:val="0020210F"/>
    <w:rsid w:val="002025DA"/>
    <w:rsid w:val="00215200"/>
    <w:rsid w:val="002174C7"/>
    <w:rsid w:val="00242DE8"/>
    <w:rsid w:val="002465F3"/>
    <w:rsid w:val="0024723B"/>
    <w:rsid w:val="00251390"/>
    <w:rsid w:val="00256DF3"/>
    <w:rsid w:val="00257D85"/>
    <w:rsid w:val="00261030"/>
    <w:rsid w:val="0028380A"/>
    <w:rsid w:val="0029460C"/>
    <w:rsid w:val="002A1697"/>
    <w:rsid w:val="002C02AD"/>
    <w:rsid w:val="002C1453"/>
    <w:rsid w:val="002D4E58"/>
    <w:rsid w:val="002E3282"/>
    <w:rsid w:val="003048FF"/>
    <w:rsid w:val="00305819"/>
    <w:rsid w:val="00307DAB"/>
    <w:rsid w:val="003129F4"/>
    <w:rsid w:val="0031437F"/>
    <w:rsid w:val="00322D9C"/>
    <w:rsid w:val="0032691D"/>
    <w:rsid w:val="0033176F"/>
    <w:rsid w:val="0034646F"/>
    <w:rsid w:val="0036748E"/>
    <w:rsid w:val="003702C4"/>
    <w:rsid w:val="003712D8"/>
    <w:rsid w:val="003807B8"/>
    <w:rsid w:val="003947B9"/>
    <w:rsid w:val="003A5D87"/>
    <w:rsid w:val="003B0FFC"/>
    <w:rsid w:val="003C1C6D"/>
    <w:rsid w:val="003C3A08"/>
    <w:rsid w:val="003C6157"/>
    <w:rsid w:val="003D0350"/>
    <w:rsid w:val="003D34F4"/>
    <w:rsid w:val="003D7B82"/>
    <w:rsid w:val="003E2CCE"/>
    <w:rsid w:val="003E4C7E"/>
    <w:rsid w:val="003F447F"/>
    <w:rsid w:val="00401F19"/>
    <w:rsid w:val="00403D35"/>
    <w:rsid w:val="00407C12"/>
    <w:rsid w:val="004170B0"/>
    <w:rsid w:val="00417D97"/>
    <w:rsid w:val="0042347F"/>
    <w:rsid w:val="00432F5C"/>
    <w:rsid w:val="00441DAB"/>
    <w:rsid w:val="00442A59"/>
    <w:rsid w:val="00461393"/>
    <w:rsid w:val="00466106"/>
    <w:rsid w:val="00467DC1"/>
    <w:rsid w:val="004712EA"/>
    <w:rsid w:val="004738CE"/>
    <w:rsid w:val="0048433C"/>
    <w:rsid w:val="00487B63"/>
    <w:rsid w:val="004903B0"/>
    <w:rsid w:val="00492D80"/>
    <w:rsid w:val="004976B8"/>
    <w:rsid w:val="004A0072"/>
    <w:rsid w:val="004A1499"/>
    <w:rsid w:val="004A5500"/>
    <w:rsid w:val="004B4DC3"/>
    <w:rsid w:val="004B5818"/>
    <w:rsid w:val="004C0738"/>
    <w:rsid w:val="004D5A59"/>
    <w:rsid w:val="004E45FE"/>
    <w:rsid w:val="004E482A"/>
    <w:rsid w:val="004F25E8"/>
    <w:rsid w:val="004F5D83"/>
    <w:rsid w:val="00504977"/>
    <w:rsid w:val="0051406D"/>
    <w:rsid w:val="0051408F"/>
    <w:rsid w:val="005154F6"/>
    <w:rsid w:val="00516668"/>
    <w:rsid w:val="00533F41"/>
    <w:rsid w:val="005352F3"/>
    <w:rsid w:val="00544D4B"/>
    <w:rsid w:val="00547530"/>
    <w:rsid w:val="005501D2"/>
    <w:rsid w:val="00552A9E"/>
    <w:rsid w:val="0055377C"/>
    <w:rsid w:val="00561C38"/>
    <w:rsid w:val="00565EDE"/>
    <w:rsid w:val="00576297"/>
    <w:rsid w:val="00577231"/>
    <w:rsid w:val="00586E4F"/>
    <w:rsid w:val="005B071C"/>
    <w:rsid w:val="005B1A3D"/>
    <w:rsid w:val="005C7782"/>
    <w:rsid w:val="005D5D5F"/>
    <w:rsid w:val="005E1C77"/>
    <w:rsid w:val="005E3AF7"/>
    <w:rsid w:val="005F4820"/>
    <w:rsid w:val="005F6763"/>
    <w:rsid w:val="005F76F3"/>
    <w:rsid w:val="00601B0D"/>
    <w:rsid w:val="00606FCF"/>
    <w:rsid w:val="00611A9B"/>
    <w:rsid w:val="00627D2D"/>
    <w:rsid w:val="00632258"/>
    <w:rsid w:val="006337E4"/>
    <w:rsid w:val="00642557"/>
    <w:rsid w:val="00642CEC"/>
    <w:rsid w:val="006436BC"/>
    <w:rsid w:val="00644912"/>
    <w:rsid w:val="00645467"/>
    <w:rsid w:val="006609EB"/>
    <w:rsid w:val="00660BB3"/>
    <w:rsid w:val="00666C82"/>
    <w:rsid w:val="00667538"/>
    <w:rsid w:val="00676E00"/>
    <w:rsid w:val="00680B39"/>
    <w:rsid w:val="00685FC1"/>
    <w:rsid w:val="00692ECA"/>
    <w:rsid w:val="00697903"/>
    <w:rsid w:val="006A2E76"/>
    <w:rsid w:val="006A4CE5"/>
    <w:rsid w:val="006A6327"/>
    <w:rsid w:val="006A7D07"/>
    <w:rsid w:val="006C4575"/>
    <w:rsid w:val="006C504C"/>
    <w:rsid w:val="006D14B4"/>
    <w:rsid w:val="006D2837"/>
    <w:rsid w:val="006D41F6"/>
    <w:rsid w:val="006D42D8"/>
    <w:rsid w:val="006D51FB"/>
    <w:rsid w:val="006D5609"/>
    <w:rsid w:val="006E0210"/>
    <w:rsid w:val="006E2772"/>
    <w:rsid w:val="006E345B"/>
    <w:rsid w:val="006E764C"/>
    <w:rsid w:val="006F0555"/>
    <w:rsid w:val="006F6130"/>
    <w:rsid w:val="00710DA4"/>
    <w:rsid w:val="0071116E"/>
    <w:rsid w:val="00715E67"/>
    <w:rsid w:val="00720B57"/>
    <w:rsid w:val="00723CC7"/>
    <w:rsid w:val="00727D25"/>
    <w:rsid w:val="007315AA"/>
    <w:rsid w:val="007341F6"/>
    <w:rsid w:val="00740F9A"/>
    <w:rsid w:val="007414F2"/>
    <w:rsid w:val="00753A52"/>
    <w:rsid w:val="007568E6"/>
    <w:rsid w:val="00761DC5"/>
    <w:rsid w:val="00765FC5"/>
    <w:rsid w:val="007904A6"/>
    <w:rsid w:val="0079319A"/>
    <w:rsid w:val="007A626F"/>
    <w:rsid w:val="007B057B"/>
    <w:rsid w:val="007B2269"/>
    <w:rsid w:val="007B3DDC"/>
    <w:rsid w:val="007B46EA"/>
    <w:rsid w:val="007C3493"/>
    <w:rsid w:val="007C7CC1"/>
    <w:rsid w:val="007E18CB"/>
    <w:rsid w:val="007E6CE0"/>
    <w:rsid w:val="007F3E0E"/>
    <w:rsid w:val="008018A5"/>
    <w:rsid w:val="00807B1D"/>
    <w:rsid w:val="008120CB"/>
    <w:rsid w:val="00813D94"/>
    <w:rsid w:val="00814990"/>
    <w:rsid w:val="008264FB"/>
    <w:rsid w:val="00842BB7"/>
    <w:rsid w:val="00843C63"/>
    <w:rsid w:val="0084564D"/>
    <w:rsid w:val="008528B0"/>
    <w:rsid w:val="008546CB"/>
    <w:rsid w:val="00854F10"/>
    <w:rsid w:val="00884F1F"/>
    <w:rsid w:val="00886386"/>
    <w:rsid w:val="008A3CFD"/>
    <w:rsid w:val="008C5918"/>
    <w:rsid w:val="008D2A0D"/>
    <w:rsid w:val="008D2AB1"/>
    <w:rsid w:val="008D7183"/>
    <w:rsid w:val="008E72C2"/>
    <w:rsid w:val="008F29BE"/>
    <w:rsid w:val="008F37FA"/>
    <w:rsid w:val="008F476D"/>
    <w:rsid w:val="008F5EFB"/>
    <w:rsid w:val="00912C6E"/>
    <w:rsid w:val="00913ED4"/>
    <w:rsid w:val="00944FCB"/>
    <w:rsid w:val="00950C5C"/>
    <w:rsid w:val="0095406F"/>
    <w:rsid w:val="00966891"/>
    <w:rsid w:val="00967E07"/>
    <w:rsid w:val="00976439"/>
    <w:rsid w:val="00984D45"/>
    <w:rsid w:val="009904AD"/>
    <w:rsid w:val="00992639"/>
    <w:rsid w:val="009A39B4"/>
    <w:rsid w:val="009B4231"/>
    <w:rsid w:val="009C716A"/>
    <w:rsid w:val="009D15F4"/>
    <w:rsid w:val="009F71F9"/>
    <w:rsid w:val="00A05648"/>
    <w:rsid w:val="00A16FBA"/>
    <w:rsid w:val="00A26EB0"/>
    <w:rsid w:val="00A36B0E"/>
    <w:rsid w:val="00A50CB7"/>
    <w:rsid w:val="00A61092"/>
    <w:rsid w:val="00A8046F"/>
    <w:rsid w:val="00A90D48"/>
    <w:rsid w:val="00A94A96"/>
    <w:rsid w:val="00AA2CDC"/>
    <w:rsid w:val="00AA7494"/>
    <w:rsid w:val="00AB2BC1"/>
    <w:rsid w:val="00AB463D"/>
    <w:rsid w:val="00AB4781"/>
    <w:rsid w:val="00AC2FDD"/>
    <w:rsid w:val="00AD4269"/>
    <w:rsid w:val="00AD68FD"/>
    <w:rsid w:val="00AF4331"/>
    <w:rsid w:val="00AF51C9"/>
    <w:rsid w:val="00B071E5"/>
    <w:rsid w:val="00B100E5"/>
    <w:rsid w:val="00B10386"/>
    <w:rsid w:val="00B10EAA"/>
    <w:rsid w:val="00B138D2"/>
    <w:rsid w:val="00B209DC"/>
    <w:rsid w:val="00B26FA0"/>
    <w:rsid w:val="00B32620"/>
    <w:rsid w:val="00B35D0D"/>
    <w:rsid w:val="00B4669F"/>
    <w:rsid w:val="00B50B10"/>
    <w:rsid w:val="00B529ED"/>
    <w:rsid w:val="00B53D19"/>
    <w:rsid w:val="00B55573"/>
    <w:rsid w:val="00B6148B"/>
    <w:rsid w:val="00B67376"/>
    <w:rsid w:val="00B715F7"/>
    <w:rsid w:val="00B76D15"/>
    <w:rsid w:val="00B76DC4"/>
    <w:rsid w:val="00B80BEA"/>
    <w:rsid w:val="00B80C74"/>
    <w:rsid w:val="00B83996"/>
    <w:rsid w:val="00B85D60"/>
    <w:rsid w:val="00B85E1D"/>
    <w:rsid w:val="00B86281"/>
    <w:rsid w:val="00B902ED"/>
    <w:rsid w:val="00B90631"/>
    <w:rsid w:val="00B914D6"/>
    <w:rsid w:val="00BA0263"/>
    <w:rsid w:val="00BA0BD7"/>
    <w:rsid w:val="00BA2311"/>
    <w:rsid w:val="00BA4EB1"/>
    <w:rsid w:val="00BB043C"/>
    <w:rsid w:val="00BB2668"/>
    <w:rsid w:val="00BB2D35"/>
    <w:rsid w:val="00BC5C05"/>
    <w:rsid w:val="00BD0D25"/>
    <w:rsid w:val="00BF16A4"/>
    <w:rsid w:val="00BF2ABB"/>
    <w:rsid w:val="00BF5089"/>
    <w:rsid w:val="00C02021"/>
    <w:rsid w:val="00C07BFA"/>
    <w:rsid w:val="00C11C80"/>
    <w:rsid w:val="00C14B21"/>
    <w:rsid w:val="00C17BBB"/>
    <w:rsid w:val="00C22F98"/>
    <w:rsid w:val="00C31905"/>
    <w:rsid w:val="00C366AC"/>
    <w:rsid w:val="00C41230"/>
    <w:rsid w:val="00C47FD6"/>
    <w:rsid w:val="00C55848"/>
    <w:rsid w:val="00C61FD6"/>
    <w:rsid w:val="00C70C31"/>
    <w:rsid w:val="00C75724"/>
    <w:rsid w:val="00C90829"/>
    <w:rsid w:val="00C92E82"/>
    <w:rsid w:val="00C97025"/>
    <w:rsid w:val="00C97E15"/>
    <w:rsid w:val="00CA16AE"/>
    <w:rsid w:val="00CA696C"/>
    <w:rsid w:val="00CB6148"/>
    <w:rsid w:val="00CC55ED"/>
    <w:rsid w:val="00CD2FFE"/>
    <w:rsid w:val="00CE059D"/>
    <w:rsid w:val="00CE2B68"/>
    <w:rsid w:val="00CF2A77"/>
    <w:rsid w:val="00CF3033"/>
    <w:rsid w:val="00D00318"/>
    <w:rsid w:val="00D02704"/>
    <w:rsid w:val="00D04F88"/>
    <w:rsid w:val="00D109A7"/>
    <w:rsid w:val="00D17DF0"/>
    <w:rsid w:val="00D24755"/>
    <w:rsid w:val="00D34D47"/>
    <w:rsid w:val="00D439AD"/>
    <w:rsid w:val="00D67358"/>
    <w:rsid w:val="00D67368"/>
    <w:rsid w:val="00D742A3"/>
    <w:rsid w:val="00DA3C5D"/>
    <w:rsid w:val="00DA72CD"/>
    <w:rsid w:val="00DB08C4"/>
    <w:rsid w:val="00DB2965"/>
    <w:rsid w:val="00DC43B8"/>
    <w:rsid w:val="00DC6084"/>
    <w:rsid w:val="00DC7651"/>
    <w:rsid w:val="00DD44B2"/>
    <w:rsid w:val="00E00358"/>
    <w:rsid w:val="00E107C2"/>
    <w:rsid w:val="00E23CBF"/>
    <w:rsid w:val="00E279CB"/>
    <w:rsid w:val="00E35F4C"/>
    <w:rsid w:val="00E47564"/>
    <w:rsid w:val="00E501F1"/>
    <w:rsid w:val="00E50D89"/>
    <w:rsid w:val="00E61833"/>
    <w:rsid w:val="00E647CC"/>
    <w:rsid w:val="00E70F0E"/>
    <w:rsid w:val="00E738F2"/>
    <w:rsid w:val="00E810B0"/>
    <w:rsid w:val="00E86C78"/>
    <w:rsid w:val="00E95017"/>
    <w:rsid w:val="00EA3BC6"/>
    <w:rsid w:val="00ED38C9"/>
    <w:rsid w:val="00ED69C6"/>
    <w:rsid w:val="00EF4163"/>
    <w:rsid w:val="00EF7894"/>
    <w:rsid w:val="00F05239"/>
    <w:rsid w:val="00F077C8"/>
    <w:rsid w:val="00F134E3"/>
    <w:rsid w:val="00F14C07"/>
    <w:rsid w:val="00F21B30"/>
    <w:rsid w:val="00F2394F"/>
    <w:rsid w:val="00F36140"/>
    <w:rsid w:val="00F41C51"/>
    <w:rsid w:val="00F434E0"/>
    <w:rsid w:val="00F472B1"/>
    <w:rsid w:val="00F47422"/>
    <w:rsid w:val="00F74DD2"/>
    <w:rsid w:val="00F81D93"/>
    <w:rsid w:val="00F92695"/>
    <w:rsid w:val="00F95473"/>
    <w:rsid w:val="00F972CF"/>
    <w:rsid w:val="00FA0D38"/>
    <w:rsid w:val="00FA5A3B"/>
    <w:rsid w:val="00FA638A"/>
    <w:rsid w:val="00FB0B8E"/>
    <w:rsid w:val="00FB1FD5"/>
    <w:rsid w:val="00FB217D"/>
    <w:rsid w:val="00FB3A8D"/>
    <w:rsid w:val="00FB51DD"/>
    <w:rsid w:val="00FB7578"/>
    <w:rsid w:val="00FC174A"/>
    <w:rsid w:val="00FD12F0"/>
    <w:rsid w:val="00FF2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30"/>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F21B3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E3A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3A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3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E3A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E3AF7"/>
    <w:rPr>
      <w:rFonts w:asciiTheme="majorHAnsi" w:eastAsiaTheme="majorEastAsia" w:hAnsiTheme="majorHAnsi" w:cstheme="majorBidi"/>
      <w:b/>
      <w:bCs/>
      <w:color w:val="4F81BD" w:themeColor="accent1"/>
      <w:sz w:val="24"/>
      <w:szCs w:val="24"/>
    </w:rPr>
  </w:style>
  <w:style w:type="paragraph" w:customStyle="1" w:styleId="ParagraphIndent">
    <w:name w:val="ParagraphIndent"/>
    <w:qFormat/>
    <w:rsid w:val="00F21B30"/>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F21B30"/>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F21B30"/>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F21B30"/>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F21B30"/>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F21B30"/>
    <w:pPr>
      <w:spacing w:before="100" w:beforeAutospacing="1" w:after="100" w:afterAutospacing="1"/>
    </w:pPr>
    <w:rPr>
      <w:rFonts w:ascii="Times New Roman" w:hAnsi="Times New Roman"/>
      <w:szCs w:val="24"/>
    </w:rPr>
  </w:style>
  <w:style w:type="paragraph" w:customStyle="1" w:styleId="PageNumber">
    <w:name w:val="PageNumber"/>
    <w:qFormat/>
    <w:rsid w:val="00F21B30"/>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F21B30"/>
    <w:pPr>
      <w:keepNext/>
      <w:spacing w:before="240" w:after="60" w:line="240" w:lineRule="auto"/>
    </w:pPr>
    <w:rPr>
      <w:rFonts w:ascii="Arial" w:eastAsia="Calibri" w:hAnsi="Arial" w:cs="Arial"/>
      <w:b/>
      <w:sz w:val="32"/>
      <w:szCs w:val="32"/>
    </w:rPr>
  </w:style>
  <w:style w:type="table" w:customStyle="1" w:styleId="AHRQ1">
    <w:name w:val="AHRQ1"/>
    <w:basedOn w:val="TableGrid"/>
    <w:rsid w:val="004170B0"/>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F21B3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8F29BE"/>
    <w:pPr>
      <w:tabs>
        <w:tab w:val="left" w:pos="810"/>
        <w:tab w:val="right" w:leader="dot" w:pos="9360"/>
      </w:tabs>
    </w:pPr>
    <w:rPr>
      <w:rFonts w:ascii="Times New Roman" w:hAnsi="Times New Roman"/>
      <w:b/>
      <w:bCs/>
      <w:noProof/>
      <w:szCs w:val="24"/>
      <w:lang w:val="en-CA"/>
    </w:rPr>
  </w:style>
  <w:style w:type="paragraph" w:styleId="TOC2">
    <w:name w:val="toc 2"/>
    <w:basedOn w:val="Normal"/>
    <w:next w:val="Normal"/>
    <w:autoRedefine/>
    <w:uiPriority w:val="39"/>
    <w:rsid w:val="00D04F88"/>
    <w:pPr>
      <w:tabs>
        <w:tab w:val="right" w:leader="dot" w:pos="9360"/>
      </w:tabs>
      <w:ind w:left="240"/>
    </w:pPr>
    <w:rPr>
      <w:rFonts w:ascii="Times New Roman" w:hAnsi="Times New Roman"/>
      <w:szCs w:val="24"/>
      <w:lang w:val="en-CA"/>
    </w:rPr>
  </w:style>
  <w:style w:type="paragraph" w:customStyle="1" w:styleId="ChapterHeading">
    <w:name w:val="ChapterHeading"/>
    <w:qFormat/>
    <w:rsid w:val="00F21B30"/>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F21B30"/>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F21B30"/>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F21B30"/>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F21B30"/>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F21B30"/>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F21B30"/>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F21B3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21B30"/>
    <w:rPr>
      <w:rFonts w:ascii="Calibri" w:eastAsia="Calibri" w:hAnsi="Calibri" w:cs="Times New Roman"/>
    </w:rPr>
  </w:style>
  <w:style w:type="paragraph" w:customStyle="1" w:styleId="Level5Heading">
    <w:name w:val="Level5Heading"/>
    <w:qFormat/>
    <w:rsid w:val="00F21B30"/>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F21B30"/>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F21B30"/>
    <w:rPr>
      <w:rFonts w:ascii="Tahoma" w:hAnsi="Tahoma" w:cs="Tahoma"/>
      <w:sz w:val="16"/>
      <w:szCs w:val="16"/>
    </w:rPr>
  </w:style>
  <w:style w:type="character" w:customStyle="1" w:styleId="BalloonTextChar">
    <w:name w:val="Balloon Text Char"/>
    <w:basedOn w:val="DefaultParagraphFont"/>
    <w:link w:val="BalloonText"/>
    <w:uiPriority w:val="99"/>
    <w:semiHidden/>
    <w:rsid w:val="00F21B30"/>
    <w:rPr>
      <w:rFonts w:ascii="Tahoma" w:eastAsia="Times New Roman" w:hAnsi="Tahoma" w:cs="Tahoma"/>
      <w:sz w:val="16"/>
      <w:szCs w:val="16"/>
    </w:rPr>
  </w:style>
  <w:style w:type="character" w:styleId="CommentReference">
    <w:name w:val="annotation reference"/>
    <w:basedOn w:val="DefaultParagraphFont"/>
    <w:uiPriority w:val="99"/>
    <w:rsid w:val="00F21B30"/>
    <w:rPr>
      <w:sz w:val="16"/>
      <w:szCs w:val="16"/>
    </w:rPr>
  </w:style>
  <w:style w:type="paragraph" w:styleId="CommentText">
    <w:name w:val="annotation text"/>
    <w:basedOn w:val="Normal"/>
    <w:link w:val="CommentTextChar"/>
    <w:uiPriority w:val="99"/>
    <w:rsid w:val="00F21B3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5E3AF7"/>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21B30"/>
    <w:rPr>
      <w:b/>
      <w:bCs/>
    </w:rPr>
  </w:style>
  <w:style w:type="character" w:customStyle="1" w:styleId="CommentSubjectChar">
    <w:name w:val="Comment Subject Char"/>
    <w:basedOn w:val="CommentTextChar"/>
    <w:link w:val="CommentSubject"/>
    <w:semiHidden/>
    <w:rsid w:val="005E3AF7"/>
    <w:rPr>
      <w:rFonts w:ascii="Calibri" w:eastAsia="Calibri" w:hAnsi="Calibri" w:cs="Times New Roman"/>
      <w:b/>
      <w:bCs/>
      <w:sz w:val="20"/>
      <w:szCs w:val="20"/>
    </w:rPr>
  </w:style>
  <w:style w:type="paragraph" w:customStyle="1" w:styleId="PreparedForText">
    <w:name w:val="PreparedForText"/>
    <w:qFormat/>
    <w:rsid w:val="00F21B30"/>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F21B30"/>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F21B30"/>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F21B30"/>
    <w:pPr>
      <w:spacing w:after="0" w:line="240" w:lineRule="auto"/>
    </w:pPr>
    <w:rPr>
      <w:rFonts w:ascii="Times New Roman" w:eastAsia="Times New Roman" w:hAnsi="Times New Roman" w:cs="Times New Roman"/>
      <w:bCs/>
      <w:sz w:val="24"/>
      <w:szCs w:val="24"/>
    </w:rPr>
  </w:style>
  <w:style w:type="paragraph" w:customStyle="1" w:styleId="Investigators">
    <w:name w:val="Investigators"/>
    <w:uiPriority w:val="99"/>
    <w:qFormat/>
    <w:rsid w:val="00F21B30"/>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F21B30"/>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F21B30"/>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F21B30"/>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F21B30"/>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F21B30"/>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F21B30"/>
    <w:pPr>
      <w:spacing w:after="0" w:line="240" w:lineRule="auto"/>
      <w:jc w:val="center"/>
    </w:pPr>
    <w:rPr>
      <w:rFonts w:ascii="Arial" w:eastAsia="Calibri" w:hAnsi="Arial" w:cs="Arial"/>
      <w:b/>
      <w:bCs/>
      <w:sz w:val="18"/>
      <w:szCs w:val="18"/>
    </w:rPr>
  </w:style>
  <w:style w:type="paragraph" w:customStyle="1" w:styleId="TableSubhead">
    <w:name w:val="TableSubhead"/>
    <w:qFormat/>
    <w:rsid w:val="00F21B30"/>
    <w:pPr>
      <w:spacing w:after="0" w:line="240" w:lineRule="auto"/>
    </w:pPr>
    <w:rPr>
      <w:rFonts w:ascii="Arial" w:eastAsia="Calibri" w:hAnsi="Arial" w:cs="Arial"/>
      <w:b/>
      <w:i/>
      <w:sz w:val="18"/>
      <w:szCs w:val="18"/>
    </w:rPr>
  </w:style>
  <w:style w:type="paragraph" w:customStyle="1" w:styleId="TableText">
    <w:name w:val="TableText"/>
    <w:qFormat/>
    <w:rsid w:val="00F21B30"/>
    <w:pPr>
      <w:spacing w:after="0" w:line="240" w:lineRule="auto"/>
    </w:pPr>
    <w:rPr>
      <w:rFonts w:ascii="Arial" w:eastAsia="Calibri" w:hAnsi="Arial" w:cs="Arial"/>
      <w:sz w:val="18"/>
      <w:szCs w:val="18"/>
    </w:rPr>
  </w:style>
  <w:style w:type="paragraph" w:customStyle="1" w:styleId="Level6Heading">
    <w:name w:val="Level6Heading"/>
    <w:qFormat/>
    <w:rsid w:val="00F21B30"/>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F21B30"/>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F21B30"/>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F21B30"/>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F21B30"/>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F21B30"/>
    <w:pPr>
      <w:spacing w:after="0" w:line="240" w:lineRule="auto"/>
      <w:jc w:val="center"/>
    </w:pPr>
    <w:rPr>
      <w:rFonts w:ascii="Arial" w:eastAsia="Calibri" w:hAnsi="Arial" w:cs="Arial"/>
      <w:sz w:val="18"/>
      <w:szCs w:val="18"/>
    </w:rPr>
  </w:style>
  <w:style w:type="paragraph" w:customStyle="1" w:styleId="TableLeftText">
    <w:name w:val="TableLeftText"/>
    <w:qFormat/>
    <w:rsid w:val="00F21B30"/>
    <w:pPr>
      <w:spacing w:after="0" w:line="240" w:lineRule="auto"/>
    </w:pPr>
    <w:rPr>
      <w:rFonts w:ascii="Arial" w:eastAsia="Calibri" w:hAnsi="Arial" w:cs="Arial"/>
      <w:sz w:val="18"/>
      <w:szCs w:val="18"/>
    </w:rPr>
  </w:style>
  <w:style w:type="paragraph" w:customStyle="1" w:styleId="TableBoldText">
    <w:name w:val="TableBoldText"/>
    <w:qFormat/>
    <w:rsid w:val="00F21B30"/>
    <w:pPr>
      <w:spacing w:after="0" w:line="240" w:lineRule="auto"/>
    </w:pPr>
    <w:rPr>
      <w:rFonts w:ascii="Arial" w:eastAsia="Calibri" w:hAnsi="Arial" w:cs="Arial"/>
      <w:b/>
      <w:sz w:val="18"/>
      <w:szCs w:val="18"/>
    </w:rPr>
  </w:style>
  <w:style w:type="paragraph" w:customStyle="1" w:styleId="Studies1">
    <w:name w:val="Studies1"/>
    <w:qFormat/>
    <w:rsid w:val="00F21B30"/>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F21B30"/>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F21B30"/>
    <w:pPr>
      <w:numPr>
        <w:numId w:val="3"/>
      </w:numPr>
      <w:ind w:left="720"/>
    </w:pPr>
  </w:style>
  <w:style w:type="paragraph" w:customStyle="1" w:styleId="ReportSubtitle">
    <w:name w:val="ReportSubtitle"/>
    <w:qFormat/>
    <w:rsid w:val="00F21B30"/>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F21B30"/>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F21B30"/>
    <w:pPr>
      <w:tabs>
        <w:tab w:val="center" w:pos="4680"/>
        <w:tab w:val="right" w:pos="9360"/>
      </w:tabs>
    </w:pPr>
  </w:style>
  <w:style w:type="character" w:customStyle="1" w:styleId="FooterChar">
    <w:name w:val="Footer Char"/>
    <w:basedOn w:val="DefaultParagraphFont"/>
    <w:link w:val="Footer"/>
    <w:uiPriority w:val="99"/>
    <w:rsid w:val="00F21B30"/>
    <w:rPr>
      <w:rFonts w:ascii="Times" w:eastAsia="Times New Roman" w:hAnsi="Times" w:cs="Times New Roman"/>
      <w:sz w:val="24"/>
      <w:szCs w:val="20"/>
    </w:rPr>
  </w:style>
  <w:style w:type="paragraph" w:styleId="ListParagraph">
    <w:name w:val="List Paragraph"/>
    <w:basedOn w:val="Normal"/>
    <w:uiPriority w:val="34"/>
    <w:qFormat/>
    <w:rsid w:val="005E3AF7"/>
    <w:pPr>
      <w:ind w:left="720"/>
      <w:contextualSpacing/>
    </w:pPr>
    <w:rPr>
      <w:rFonts w:ascii="Arial" w:eastAsia="ヒラギノ角ゴ Pro W3" w:hAnsi="Arial"/>
      <w:color w:val="000000"/>
    </w:rPr>
  </w:style>
  <w:style w:type="paragraph" w:customStyle="1" w:styleId="text">
    <w:name w:val="text"/>
    <w:rsid w:val="005E3AF7"/>
    <w:pPr>
      <w:spacing w:before="120" w:after="0" w:line="240" w:lineRule="auto"/>
      <w:ind w:firstLine="720"/>
    </w:pPr>
    <w:rPr>
      <w:rFonts w:ascii="Arial" w:eastAsia="ヒラギノ角ゴ Pro W3" w:hAnsi="Arial" w:cs="Times New Roman"/>
      <w:color w:val="000000"/>
      <w:sz w:val="24"/>
      <w:szCs w:val="24"/>
    </w:rPr>
  </w:style>
  <w:style w:type="paragraph" w:customStyle="1" w:styleId="kqstem-sub1">
    <w:name w:val="kqstem-sub1"/>
    <w:basedOn w:val="Normal"/>
    <w:rsid w:val="005E3AF7"/>
    <w:pPr>
      <w:numPr>
        <w:numId w:val="4"/>
      </w:numPr>
      <w:shd w:val="clear" w:color="auto" w:fill="FFFFFF"/>
      <w:spacing w:before="120"/>
    </w:pPr>
    <w:rPr>
      <w:rFonts w:ascii="Arial" w:hAnsi="Arial" w:cs="Arial"/>
      <w:sz w:val="19"/>
      <w:szCs w:val="19"/>
    </w:rPr>
  </w:style>
  <w:style w:type="character" w:customStyle="1" w:styleId="TextChar">
    <w:name w:val="Text Char"/>
    <w:basedOn w:val="DefaultParagraphFont"/>
    <w:link w:val="Text0"/>
    <w:locked/>
    <w:rsid w:val="005E3AF7"/>
    <w:rPr>
      <w:sz w:val="24"/>
      <w:szCs w:val="24"/>
      <w:shd w:val="clear" w:color="auto" w:fill="FFFFFF"/>
    </w:rPr>
  </w:style>
  <w:style w:type="paragraph" w:customStyle="1" w:styleId="Text0">
    <w:name w:val="Text"/>
    <w:basedOn w:val="Normal"/>
    <w:link w:val="TextChar"/>
    <w:rsid w:val="005E3AF7"/>
    <w:pPr>
      <w:shd w:val="clear" w:color="auto" w:fill="FFFFFF"/>
      <w:spacing w:after="120"/>
    </w:pPr>
    <w:rPr>
      <w:rFonts w:asciiTheme="minorHAnsi" w:eastAsiaTheme="minorHAnsi" w:hAnsiTheme="minorHAnsi" w:cstheme="minorBidi"/>
    </w:rPr>
  </w:style>
  <w:style w:type="paragraph" w:customStyle="1" w:styleId="Heading20">
    <w:name w:val="Heading2"/>
    <w:basedOn w:val="Text0"/>
    <w:qFormat/>
    <w:rsid w:val="005E3AF7"/>
    <w:pPr>
      <w:spacing w:before="120"/>
    </w:pPr>
    <w:rPr>
      <w:b/>
      <w:bCs/>
    </w:rPr>
  </w:style>
  <w:style w:type="paragraph" w:customStyle="1" w:styleId="FigureTitle">
    <w:name w:val="FigureTitle"/>
    <w:basedOn w:val="TableTitle"/>
    <w:qFormat/>
    <w:rsid w:val="005E3AF7"/>
  </w:style>
  <w:style w:type="character" w:styleId="Hyperlink">
    <w:name w:val="Hyperlink"/>
    <w:basedOn w:val="DefaultParagraphFont"/>
    <w:uiPriority w:val="99"/>
    <w:rsid w:val="00F21B30"/>
    <w:rPr>
      <w:color w:val="0000FF"/>
      <w:u w:val="single"/>
    </w:rPr>
  </w:style>
  <w:style w:type="paragraph" w:styleId="FootnoteText">
    <w:name w:val="footnote text"/>
    <w:basedOn w:val="Normal"/>
    <w:link w:val="FootnoteTextChar"/>
    <w:uiPriority w:val="99"/>
    <w:unhideWhenUsed/>
    <w:rsid w:val="005E3AF7"/>
    <w:pPr>
      <w:spacing w:before="20" w:after="20"/>
    </w:pPr>
    <w:rPr>
      <w:rFonts w:ascii="Times New Roman" w:hAnsi="Times New Roman"/>
      <w:sz w:val="20"/>
    </w:rPr>
  </w:style>
  <w:style w:type="character" w:customStyle="1" w:styleId="FootnoteTextChar">
    <w:name w:val="Footnote Text Char"/>
    <w:basedOn w:val="DefaultParagraphFont"/>
    <w:link w:val="FootnoteText"/>
    <w:uiPriority w:val="99"/>
    <w:rsid w:val="005E3AF7"/>
    <w:rPr>
      <w:rFonts w:ascii="Times New Roman" w:eastAsia="Times New Roman" w:hAnsi="Times New Roman" w:cs="Times New Roman"/>
      <w:sz w:val="20"/>
      <w:szCs w:val="24"/>
    </w:rPr>
  </w:style>
  <w:style w:type="paragraph" w:customStyle="1" w:styleId="Tabletext0">
    <w:name w:val="Table text"/>
    <w:basedOn w:val="TableText"/>
    <w:qFormat/>
    <w:rsid w:val="004170B0"/>
  </w:style>
  <w:style w:type="paragraph" w:customStyle="1" w:styleId="TableHeader">
    <w:name w:val="Table Header"/>
    <w:basedOn w:val="Tabletext0"/>
    <w:qFormat/>
    <w:rsid w:val="005E3AF7"/>
    <w:rPr>
      <w:b/>
    </w:rPr>
  </w:style>
  <w:style w:type="paragraph" w:customStyle="1" w:styleId="Tablebullet">
    <w:name w:val="Table bullet"/>
    <w:basedOn w:val="Normal"/>
    <w:qFormat/>
    <w:rsid w:val="005E3AF7"/>
    <w:pPr>
      <w:numPr>
        <w:numId w:val="5"/>
      </w:numPr>
      <w:spacing w:before="20" w:after="20" w:line="276" w:lineRule="auto"/>
      <w:ind w:left="252" w:hanging="180"/>
      <w:contextualSpacing/>
    </w:pPr>
    <w:rPr>
      <w:rFonts w:ascii="Arial" w:eastAsia="Calibri" w:hAnsi="Arial" w:cs="Arial"/>
      <w:sz w:val="18"/>
    </w:rPr>
  </w:style>
  <w:style w:type="paragraph" w:customStyle="1" w:styleId="TableTitlecontinued">
    <w:name w:val="TableTitle(continued)"/>
    <w:basedOn w:val="TableTitle"/>
    <w:qFormat/>
    <w:rsid w:val="005E3AF7"/>
  </w:style>
  <w:style w:type="paragraph" w:styleId="Revision">
    <w:name w:val="Revision"/>
    <w:hidden/>
    <w:uiPriority w:val="99"/>
    <w:rsid w:val="005E3AF7"/>
    <w:pPr>
      <w:spacing w:after="0" w:line="240" w:lineRule="auto"/>
    </w:pPr>
    <w:rPr>
      <w:rFonts w:ascii="Times" w:eastAsia="Times New Roman" w:hAnsi="Times" w:cs="Times New Roman"/>
      <w:sz w:val="24"/>
      <w:szCs w:val="24"/>
    </w:rPr>
  </w:style>
  <w:style w:type="paragraph" w:customStyle="1" w:styleId="BodyText">
    <w:name w:val="BodyText"/>
    <w:basedOn w:val="Normal"/>
    <w:link w:val="BodyTextChar"/>
    <w:rsid w:val="00F21B30"/>
    <w:pPr>
      <w:spacing w:after="120"/>
    </w:pPr>
  </w:style>
  <w:style w:type="character" w:customStyle="1" w:styleId="BodyTextChar">
    <w:name w:val="BodyText Char"/>
    <w:basedOn w:val="DefaultParagraphFont"/>
    <w:link w:val="BodyText"/>
    <w:rsid w:val="00F21B30"/>
    <w:rPr>
      <w:rFonts w:ascii="Times" w:eastAsia="Times New Roman" w:hAnsi="Times" w:cs="Times New Roman"/>
      <w:sz w:val="24"/>
      <w:szCs w:val="20"/>
    </w:rPr>
  </w:style>
  <w:style w:type="table" w:customStyle="1" w:styleId="TableGrid1">
    <w:name w:val="Table Grid1"/>
    <w:basedOn w:val="TableNormal"/>
    <w:next w:val="TableGrid"/>
    <w:uiPriority w:val="9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1">
    <w:name w:val="AHRQ11"/>
    <w:basedOn w:val="TableGrid"/>
    <w:rsid w:val="005E3AF7"/>
    <w:tblPr/>
  </w:style>
  <w:style w:type="character" w:customStyle="1" w:styleId="st">
    <w:name w:val="st"/>
    <w:basedOn w:val="DefaultParagraphFont"/>
    <w:rsid w:val="005E3AF7"/>
  </w:style>
  <w:style w:type="character" w:customStyle="1" w:styleId="ChapterHeadingChar">
    <w:name w:val="Chapter Heading Char"/>
    <w:basedOn w:val="DefaultParagraphFont"/>
    <w:rsid w:val="005E3AF7"/>
    <w:rPr>
      <w:rFonts w:ascii="Arial" w:eastAsia="Times" w:hAnsi="Arial"/>
      <w:b/>
      <w:sz w:val="36"/>
      <w:lang w:val="en-US" w:eastAsia="en-US" w:bidi="ar-SA"/>
    </w:rPr>
  </w:style>
  <w:style w:type="character" w:styleId="Emphasis">
    <w:name w:val="Emphasis"/>
    <w:basedOn w:val="DefaultParagraphFont"/>
    <w:uiPriority w:val="99"/>
    <w:qFormat/>
    <w:rsid w:val="005E3AF7"/>
    <w:rPr>
      <w:i/>
      <w:iCs/>
    </w:rPr>
  </w:style>
  <w:style w:type="paragraph" w:customStyle="1" w:styleId="AHRQBODYTEXT">
    <w:name w:val="AHRQ BODY TEXT"/>
    <w:basedOn w:val="Normal"/>
    <w:link w:val="AHRQBODYTEXTChar"/>
    <w:rsid w:val="005E3AF7"/>
    <w:pPr>
      <w:ind w:firstLine="360"/>
    </w:pPr>
    <w:rPr>
      <w:rFonts w:eastAsia="Times"/>
    </w:rPr>
  </w:style>
  <w:style w:type="character" w:customStyle="1" w:styleId="AHRQBODYTEXTChar">
    <w:name w:val="AHRQ BODY TEXT Char"/>
    <w:basedOn w:val="DefaultParagraphFont"/>
    <w:link w:val="AHRQBODYTEXT"/>
    <w:rsid w:val="005E3AF7"/>
    <w:rPr>
      <w:rFonts w:ascii="Times" w:eastAsia="Times" w:hAnsi="Times" w:cs="Times New Roman"/>
      <w:sz w:val="24"/>
      <w:szCs w:val="20"/>
    </w:rPr>
  </w:style>
  <w:style w:type="paragraph" w:customStyle="1" w:styleId="bullet1blank">
    <w:name w:val="bullet1blank"/>
    <w:basedOn w:val="Heading20"/>
    <w:qFormat/>
    <w:rsid w:val="005E3AF7"/>
    <w:pPr>
      <w:spacing w:before="0" w:after="0"/>
      <w:ind w:left="720" w:hanging="360"/>
    </w:pPr>
    <w:rPr>
      <w:rFonts w:ascii="Times New Roman" w:hAnsi="Times New Roman"/>
      <w:b w:val="0"/>
    </w:rPr>
  </w:style>
  <w:style w:type="paragraph" w:customStyle="1" w:styleId="TableBullet2">
    <w:name w:val="TableBullet2"/>
    <w:basedOn w:val="Tablebullet"/>
    <w:qFormat/>
    <w:rsid w:val="005E3AF7"/>
    <w:pPr>
      <w:numPr>
        <w:numId w:val="8"/>
      </w:numPr>
      <w:spacing w:line="240" w:lineRule="auto"/>
      <w:ind w:left="543" w:hanging="270"/>
      <w:contextualSpacing w:val="0"/>
    </w:pPr>
  </w:style>
  <w:style w:type="paragraph" w:styleId="Caption">
    <w:name w:val="caption"/>
    <w:basedOn w:val="Normal"/>
    <w:next w:val="Normal"/>
    <w:uiPriority w:val="35"/>
    <w:unhideWhenUsed/>
    <w:qFormat/>
    <w:rsid w:val="005E3AF7"/>
    <w:pPr>
      <w:spacing w:after="200"/>
    </w:pPr>
    <w:rPr>
      <w:b/>
      <w:bCs/>
      <w:color w:val="4F81BD" w:themeColor="accent1"/>
      <w:sz w:val="18"/>
      <w:szCs w:val="18"/>
    </w:rPr>
  </w:style>
  <w:style w:type="paragraph" w:customStyle="1" w:styleId="Tablebulletblank">
    <w:name w:val="Table bullet blank"/>
    <w:basedOn w:val="Tablebullet"/>
    <w:qFormat/>
    <w:rsid w:val="005E3AF7"/>
    <w:pPr>
      <w:numPr>
        <w:numId w:val="0"/>
      </w:numPr>
      <w:spacing w:before="0" w:after="0" w:line="240" w:lineRule="auto"/>
      <w:ind w:left="187" w:hanging="187"/>
    </w:pPr>
  </w:style>
  <w:style w:type="paragraph" w:styleId="TableofFigures">
    <w:name w:val="table of figures"/>
    <w:basedOn w:val="Normal"/>
    <w:next w:val="Normal"/>
    <w:uiPriority w:val="99"/>
    <w:unhideWhenUsed/>
    <w:rsid w:val="005E3AF7"/>
  </w:style>
  <w:style w:type="paragraph" w:styleId="TOC5">
    <w:name w:val="toc 5"/>
    <w:basedOn w:val="Normal"/>
    <w:next w:val="Normal"/>
    <w:autoRedefine/>
    <w:uiPriority w:val="39"/>
    <w:unhideWhenUsed/>
    <w:rsid w:val="005E3AF7"/>
    <w:pPr>
      <w:tabs>
        <w:tab w:val="right" w:leader="dot" w:pos="9350"/>
      </w:tabs>
    </w:pPr>
  </w:style>
  <w:style w:type="paragraph" w:styleId="TOC3">
    <w:name w:val="toc 3"/>
    <w:basedOn w:val="Normal"/>
    <w:next w:val="Normal"/>
    <w:autoRedefine/>
    <w:uiPriority w:val="39"/>
    <w:unhideWhenUsed/>
    <w:rsid w:val="00D04F88"/>
    <w:pPr>
      <w:tabs>
        <w:tab w:val="right" w:leader="dot" w:pos="9360"/>
      </w:tabs>
      <w:ind w:left="475"/>
    </w:pPr>
  </w:style>
  <w:style w:type="table" w:customStyle="1" w:styleId="TableGrid7">
    <w:name w:val="Table Grid7"/>
    <w:basedOn w:val="TableNormal"/>
    <w:next w:val="TableGrid"/>
    <w:uiPriority w:val="59"/>
    <w:rsid w:val="005E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0">
    <w:name w:val="TableTitleContinued"/>
    <w:basedOn w:val="TableTitle"/>
    <w:qFormat/>
    <w:rsid w:val="005E3AF7"/>
  </w:style>
  <w:style w:type="paragraph" w:customStyle="1" w:styleId="Style1">
    <w:name w:val="Style1"/>
    <w:basedOn w:val="Normal"/>
    <w:link w:val="Style1Char"/>
    <w:autoRedefine/>
    <w:qFormat/>
    <w:rsid w:val="005E3AF7"/>
    <w:rPr>
      <w:rFonts w:ascii="Comic Sans MS" w:hAnsi="Comic Sans MS"/>
      <w:color w:val="1F497D" w:themeColor="text2"/>
      <w:sz w:val="20"/>
    </w:rPr>
  </w:style>
  <w:style w:type="numbering" w:customStyle="1" w:styleId="NoList1">
    <w:name w:val="No List1"/>
    <w:next w:val="NoList"/>
    <w:uiPriority w:val="99"/>
    <w:semiHidden/>
    <w:unhideWhenUsed/>
    <w:rsid w:val="005E3AF7"/>
  </w:style>
  <w:style w:type="table" w:customStyle="1" w:styleId="TableGrid8">
    <w:name w:val="Table Grid8"/>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0">
    <w:name w:val="page number"/>
    <w:rsid w:val="005E3AF7"/>
    <w:rPr>
      <w:rFonts w:ascii="Verdana" w:hAnsi="Verdana"/>
      <w:b/>
      <w:sz w:val="20"/>
    </w:rPr>
  </w:style>
  <w:style w:type="paragraph" w:customStyle="1" w:styleId="TableTextHeading">
    <w:name w:val="TableTextHeading"/>
    <w:basedOn w:val="TableText"/>
    <w:qFormat/>
    <w:rsid w:val="005E3AF7"/>
    <w:pPr>
      <w:autoSpaceDE w:val="0"/>
      <w:autoSpaceDN w:val="0"/>
      <w:adjustRightInd w:val="0"/>
      <w:spacing w:before="60"/>
    </w:pPr>
    <w:rPr>
      <w:b/>
    </w:rPr>
  </w:style>
  <w:style w:type="paragraph" w:customStyle="1" w:styleId="GlossaryChapterHeading">
    <w:name w:val="GlossaryChapterHeading"/>
    <w:basedOn w:val="ChapterHeading"/>
    <w:qFormat/>
    <w:rsid w:val="005E3AF7"/>
  </w:style>
  <w:style w:type="character" w:customStyle="1" w:styleId="highlight">
    <w:name w:val="highlight"/>
    <w:basedOn w:val="DefaultParagraphFont"/>
    <w:rsid w:val="005E3AF7"/>
  </w:style>
  <w:style w:type="character" w:styleId="FollowedHyperlink">
    <w:name w:val="FollowedHyperlink"/>
    <w:basedOn w:val="DefaultParagraphFont"/>
    <w:uiPriority w:val="99"/>
    <w:semiHidden/>
    <w:unhideWhenUsed/>
    <w:rsid w:val="005E3AF7"/>
    <w:rPr>
      <w:color w:val="800080" w:themeColor="followedHyperlink"/>
      <w:u w:val="single"/>
    </w:rPr>
  </w:style>
  <w:style w:type="paragraph" w:customStyle="1" w:styleId="AppChapterHeading">
    <w:name w:val="AppChapterHeading"/>
    <w:basedOn w:val="ChapterHeading"/>
    <w:qFormat/>
    <w:rsid w:val="005E3AF7"/>
  </w:style>
  <w:style w:type="paragraph" w:customStyle="1" w:styleId="AppLevel1Heading">
    <w:name w:val="AppLevel1Heading"/>
    <w:basedOn w:val="Level1Heading"/>
    <w:qFormat/>
    <w:rsid w:val="005E3AF7"/>
  </w:style>
  <w:style w:type="paragraph" w:customStyle="1" w:styleId="AppTableTitle">
    <w:name w:val="AppTableTitle"/>
    <w:basedOn w:val="TableTitle"/>
    <w:qFormat/>
    <w:rsid w:val="005E3AF7"/>
  </w:style>
  <w:style w:type="paragraph" w:customStyle="1" w:styleId="TitlePageReportNumber">
    <w:name w:val="Title Page Report Number"/>
    <w:basedOn w:val="Normal"/>
    <w:rsid w:val="005E3AF7"/>
    <w:rPr>
      <w:rFonts w:ascii="Arial" w:eastAsia="Times" w:hAnsi="Arial"/>
      <w:b/>
      <w:sz w:val="28"/>
    </w:rPr>
  </w:style>
  <w:style w:type="paragraph" w:customStyle="1" w:styleId="Default">
    <w:name w:val="Default"/>
    <w:rsid w:val="005E3A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itle0">
    <w:name w:val="tabletitle"/>
    <w:basedOn w:val="TableTitle"/>
    <w:rsid w:val="005E3AF7"/>
  </w:style>
  <w:style w:type="table" w:customStyle="1" w:styleId="EPC">
    <w:name w:val="EPC"/>
    <w:basedOn w:val="TableNormal"/>
    <w:uiPriority w:val="99"/>
    <w:rsid w:val="005E3AF7"/>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table" w:customStyle="1" w:styleId="AHRQ12">
    <w:name w:val="AHRQ12"/>
    <w:basedOn w:val="TableGrid"/>
    <w:rsid w:val="00B555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customStyle="1" w:styleId="Style1Char">
    <w:name w:val="Style1 Char"/>
    <w:link w:val="Style1"/>
    <w:locked/>
    <w:rsid w:val="005E3AF7"/>
    <w:rPr>
      <w:rFonts w:ascii="Comic Sans MS" w:eastAsia="Times New Roman" w:hAnsi="Comic Sans MS" w:cs="Times New Roman"/>
      <w:color w:val="1F497D" w:themeColor="text2"/>
      <w:sz w:val="20"/>
      <w:szCs w:val="24"/>
    </w:rPr>
  </w:style>
  <w:style w:type="paragraph" w:customStyle="1" w:styleId="BulletBlank">
    <w:name w:val="BulletBlank"/>
    <w:basedOn w:val="Bullet1"/>
    <w:qFormat/>
    <w:rsid w:val="005E3AF7"/>
    <w:pPr>
      <w:numPr>
        <w:numId w:val="0"/>
      </w:numPr>
      <w:ind w:left="720" w:hanging="360"/>
    </w:pPr>
    <w:rPr>
      <w:shd w:val="clear" w:color="auto" w:fill="FFFFFF"/>
    </w:rPr>
  </w:style>
  <w:style w:type="character" w:customStyle="1" w:styleId="KQstemChar">
    <w:name w:val="KQ stem Char"/>
    <w:link w:val="KQstem"/>
    <w:locked/>
    <w:rsid w:val="005E3AF7"/>
    <w:rPr>
      <w:rFonts w:ascii="Arial" w:hAnsi="Arial"/>
      <w:sz w:val="19"/>
      <w:shd w:val="clear" w:color="auto" w:fill="FFFFFF"/>
    </w:rPr>
  </w:style>
  <w:style w:type="paragraph" w:customStyle="1" w:styleId="KQstem">
    <w:name w:val="KQ stem"/>
    <w:basedOn w:val="Normal"/>
    <w:link w:val="KQstemChar"/>
    <w:rsid w:val="005E3AF7"/>
    <w:pPr>
      <w:shd w:val="clear" w:color="auto" w:fill="FFFFFF"/>
      <w:spacing w:after="206" w:line="360" w:lineRule="atLeast"/>
      <w:ind w:left="360" w:hanging="360"/>
    </w:pPr>
    <w:rPr>
      <w:rFonts w:ascii="Arial" w:eastAsiaTheme="minorHAnsi" w:hAnsi="Arial" w:cstheme="minorBidi"/>
      <w:sz w:val="19"/>
      <w:szCs w:val="22"/>
    </w:rPr>
  </w:style>
  <w:style w:type="paragraph" w:styleId="NoSpacing">
    <w:name w:val="No Spacing"/>
    <w:uiPriority w:val="1"/>
    <w:qFormat/>
    <w:rsid w:val="005E3AF7"/>
    <w:pPr>
      <w:spacing w:after="0" w:line="240" w:lineRule="auto"/>
    </w:pPr>
    <w:rPr>
      <w:rFonts w:ascii="Times" w:eastAsia="Times New Roman" w:hAnsi="Times" w:cs="Times"/>
      <w:sz w:val="24"/>
      <w:szCs w:val="24"/>
    </w:rPr>
  </w:style>
  <w:style w:type="paragraph" w:customStyle="1" w:styleId="KeyQuestion0">
    <w:name w:val="Key Question"/>
    <w:basedOn w:val="Normal"/>
    <w:qFormat/>
    <w:rsid w:val="005E3AF7"/>
    <w:pPr>
      <w:keepNext/>
      <w:keepLines/>
      <w:widowControl w:val="0"/>
      <w:tabs>
        <w:tab w:val="left" w:pos="450"/>
      </w:tabs>
      <w:spacing w:before="240" w:after="200" w:line="276" w:lineRule="auto"/>
      <w:ind w:left="450" w:hanging="450"/>
    </w:pPr>
    <w:rPr>
      <w:rFonts w:ascii="Calibri" w:eastAsia="Calibri" w:hAnsi="Calibri" w:cs="Times"/>
      <w:sz w:val="22"/>
      <w:szCs w:val="22"/>
    </w:rPr>
  </w:style>
  <w:style w:type="paragraph" w:styleId="PlainText">
    <w:name w:val="Plain Text"/>
    <w:basedOn w:val="Normal"/>
    <w:link w:val="PlainTextChar"/>
    <w:uiPriority w:val="99"/>
    <w:rsid w:val="005E3AF7"/>
    <w:pPr>
      <w:spacing w:after="200" w:line="276"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E3AF7"/>
    <w:rPr>
      <w:rFonts w:ascii="Consolas" w:eastAsia="Calibri" w:hAnsi="Consolas" w:cs="Arial"/>
      <w:sz w:val="21"/>
      <w:szCs w:val="21"/>
    </w:rPr>
  </w:style>
  <w:style w:type="paragraph" w:styleId="DocumentMap">
    <w:name w:val="Document Map"/>
    <w:basedOn w:val="Normal"/>
    <w:link w:val="DocumentMapChar"/>
    <w:uiPriority w:val="99"/>
    <w:semiHidden/>
    <w:rsid w:val="005E3AF7"/>
    <w:pPr>
      <w:spacing w:after="200" w:line="276" w:lineRule="auto"/>
    </w:pPr>
    <w:rPr>
      <w:rFonts w:ascii="Tahoma" w:eastAsia="Calibri" w:hAnsi="Tahoma" w:cs="Arial"/>
      <w:sz w:val="16"/>
      <w:szCs w:val="16"/>
    </w:rPr>
  </w:style>
  <w:style w:type="character" w:customStyle="1" w:styleId="DocumentMapChar">
    <w:name w:val="Document Map Char"/>
    <w:basedOn w:val="DefaultParagraphFont"/>
    <w:link w:val="DocumentMap"/>
    <w:uiPriority w:val="99"/>
    <w:semiHidden/>
    <w:rsid w:val="005E3AF7"/>
    <w:rPr>
      <w:rFonts w:ascii="Tahoma" w:eastAsia="Calibri" w:hAnsi="Tahoma" w:cs="Arial"/>
      <w:sz w:val="16"/>
      <w:szCs w:val="16"/>
    </w:rPr>
  </w:style>
  <w:style w:type="paragraph" w:customStyle="1" w:styleId="TableTitle1">
    <w:name w:val="Table Title"/>
    <w:basedOn w:val="Normal"/>
    <w:link w:val="TableTitleChar"/>
    <w:uiPriority w:val="99"/>
    <w:rsid w:val="005E3AF7"/>
    <w:pPr>
      <w:keepNext/>
      <w:spacing w:before="120" w:after="200" w:line="276" w:lineRule="auto"/>
    </w:pPr>
    <w:rPr>
      <w:rFonts w:ascii="Arial" w:eastAsia="Calibri" w:hAnsi="Arial"/>
      <w:b/>
      <w:bCs/>
      <w:sz w:val="20"/>
      <w:szCs w:val="22"/>
    </w:rPr>
  </w:style>
  <w:style w:type="character" w:customStyle="1" w:styleId="TableTitleChar">
    <w:name w:val="Table Title Char"/>
    <w:link w:val="TableTitle1"/>
    <w:uiPriority w:val="99"/>
    <w:locked/>
    <w:rsid w:val="005E3AF7"/>
    <w:rPr>
      <w:rFonts w:ascii="Arial" w:eastAsia="Calibri" w:hAnsi="Arial" w:cs="Times New Roman"/>
      <w:b/>
      <w:bCs/>
      <w:sz w:val="20"/>
    </w:rPr>
  </w:style>
  <w:style w:type="character" w:styleId="Strong">
    <w:name w:val="Strong"/>
    <w:uiPriority w:val="22"/>
    <w:qFormat/>
    <w:rsid w:val="005E3AF7"/>
    <w:rPr>
      <w:rFonts w:cs="Times New Roman"/>
      <w:b/>
      <w:bCs/>
    </w:rPr>
  </w:style>
  <w:style w:type="paragraph" w:customStyle="1" w:styleId="text-bullets3">
    <w:name w:val="text - bullets 3"/>
    <w:basedOn w:val="Normal"/>
    <w:uiPriority w:val="99"/>
    <w:rsid w:val="005E3AF7"/>
    <w:pPr>
      <w:keepLines/>
      <w:widowControl w:val="0"/>
      <w:numPr>
        <w:numId w:val="9"/>
      </w:numPr>
      <w:tabs>
        <w:tab w:val="num" w:pos="1260"/>
      </w:tabs>
      <w:spacing w:after="200" w:line="276" w:lineRule="auto"/>
      <w:ind w:left="1080"/>
    </w:pPr>
    <w:rPr>
      <w:rFonts w:ascii="Times New Roman" w:eastAsia="Calibri" w:hAnsi="Times New Roman" w:cs="Arial"/>
      <w:sz w:val="22"/>
      <w:szCs w:val="22"/>
    </w:rPr>
  </w:style>
  <w:style w:type="paragraph" w:customStyle="1" w:styleId="TableText1">
    <w:name w:val="Table Text"/>
    <w:basedOn w:val="Normal"/>
    <w:uiPriority w:val="99"/>
    <w:rsid w:val="005E3AF7"/>
    <w:rPr>
      <w:rFonts w:ascii="Arial" w:hAnsi="Arial" w:cs="Arial"/>
      <w:sz w:val="18"/>
      <w:szCs w:val="18"/>
    </w:rPr>
  </w:style>
  <w:style w:type="paragraph" w:customStyle="1" w:styleId="CERexecsumheader1">
    <w:name w:val="CER exec sum header 1"/>
    <w:basedOn w:val="Normal"/>
    <w:uiPriority w:val="99"/>
    <w:rsid w:val="005E3AF7"/>
    <w:pPr>
      <w:keepNext/>
      <w:keepLines/>
      <w:spacing w:before="120"/>
    </w:pPr>
    <w:rPr>
      <w:rFonts w:ascii="Arial" w:hAnsi="Arial" w:cs="Arial"/>
      <w:b/>
      <w:color w:val="000000"/>
      <w:sz w:val="32"/>
    </w:rPr>
  </w:style>
  <w:style w:type="paragraph" w:customStyle="1" w:styleId="Tabletitle2">
    <w:name w:val="Table title"/>
    <w:basedOn w:val="Normal"/>
    <w:qFormat/>
    <w:rsid w:val="005E3AF7"/>
    <w:pPr>
      <w:keepNext/>
      <w:spacing w:before="120" w:after="120"/>
    </w:pPr>
    <w:rPr>
      <w:rFonts w:ascii="Times New Roman" w:hAnsi="Times New Roman"/>
      <w:b/>
    </w:rPr>
  </w:style>
  <w:style w:type="character" w:customStyle="1" w:styleId="CommentTextChar1">
    <w:name w:val="Comment Text Char1"/>
    <w:uiPriority w:val="99"/>
    <w:semiHidden/>
    <w:locked/>
    <w:rsid w:val="005E3AF7"/>
    <w:rPr>
      <w:rFonts w:cs="Times New Roman"/>
    </w:rPr>
  </w:style>
  <w:style w:type="paragraph" w:customStyle="1" w:styleId="text-bullets4">
    <w:name w:val="text - bullets 4"/>
    <w:basedOn w:val="text-bullets3"/>
    <w:qFormat/>
    <w:rsid w:val="005E3AF7"/>
    <w:pPr>
      <w:numPr>
        <w:numId w:val="10"/>
      </w:numPr>
      <w:spacing w:after="0" w:line="240" w:lineRule="auto"/>
      <w:ind w:left="1440"/>
    </w:pPr>
    <w:rPr>
      <w:rFonts w:eastAsia="Times New Roman" w:cs="Times New Roman"/>
      <w:sz w:val="24"/>
      <w:szCs w:val="24"/>
    </w:rPr>
  </w:style>
  <w:style w:type="paragraph" w:customStyle="1" w:styleId="ES-Level1Heading">
    <w:name w:val="ES-Level1Heading"/>
    <w:basedOn w:val="Level1Heading"/>
    <w:qFormat/>
    <w:rsid w:val="005E3AF7"/>
  </w:style>
  <w:style w:type="paragraph" w:customStyle="1" w:styleId="ES-Level2Heading">
    <w:name w:val="ES-Level2Heading"/>
    <w:basedOn w:val="Level2Heading"/>
    <w:qFormat/>
    <w:rsid w:val="005E3AF7"/>
  </w:style>
  <w:style w:type="paragraph" w:customStyle="1" w:styleId="StructuredAbstractText">
    <w:name w:val="StructuredAbstractText"/>
    <w:basedOn w:val="Normal"/>
    <w:qFormat/>
    <w:rsid w:val="005E3AF7"/>
    <w:pPr>
      <w:spacing w:after="120"/>
    </w:pPr>
  </w:style>
  <w:style w:type="paragraph" w:customStyle="1" w:styleId="ref">
    <w:name w:val="ref"/>
    <w:basedOn w:val="Text0"/>
    <w:qFormat/>
    <w:rsid w:val="005E3AF7"/>
    <w:pPr>
      <w:shd w:val="clear" w:color="auto" w:fill="auto"/>
      <w:spacing w:before="120" w:after="0"/>
      <w:ind w:left="720" w:hanging="720"/>
    </w:pPr>
    <w:rPr>
      <w:rFonts w:ascii="Times New Roman" w:eastAsia="Times New Roman" w:hAnsi="Times New Roman"/>
    </w:rPr>
  </w:style>
  <w:style w:type="paragraph" w:customStyle="1" w:styleId="HeadingA">
    <w:name w:val="Heading A"/>
    <w:uiPriority w:val="99"/>
    <w:rsid w:val="005E3AF7"/>
    <w:pPr>
      <w:tabs>
        <w:tab w:val="left" w:pos="1080"/>
      </w:tabs>
      <w:spacing w:before="240" w:after="0" w:line="240" w:lineRule="auto"/>
      <w:ind w:left="1080" w:hanging="360"/>
    </w:pPr>
    <w:rPr>
      <w:rFonts w:ascii="Times New Roman" w:eastAsia="ヒラギノ角ゴ Pro W3" w:hAnsi="Times New Roman" w:cs="Times New Roman"/>
      <w:color w:val="000000"/>
      <w:sz w:val="24"/>
      <w:szCs w:val="20"/>
    </w:rPr>
  </w:style>
  <w:style w:type="table" w:customStyle="1" w:styleId="MediumShading1-Accent11">
    <w:name w:val="Medium Shading 1 - Accent 11"/>
    <w:basedOn w:val="TableNormal"/>
    <w:uiPriority w:val="63"/>
    <w:rsid w:val="005E3AF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shd w:val="clear" w:color="auto" w:fill="0070C0"/>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CCECFF"/>
      </w:tcPr>
    </w:tblStylePr>
    <w:tblStylePr w:type="band2Horz">
      <w:tblPr/>
      <w:tcPr>
        <w:tcBorders>
          <w:insideH w:val="nil"/>
          <w:insideV w:val="nil"/>
        </w:tcBorders>
      </w:tcPr>
    </w:tblStylePr>
  </w:style>
  <w:style w:type="character" w:customStyle="1" w:styleId="copypaste">
    <w:name w:val="copypaste"/>
    <w:basedOn w:val="DefaultParagraphFont"/>
    <w:rsid w:val="005E3AF7"/>
  </w:style>
  <w:style w:type="character" w:customStyle="1" w:styleId="city-state-country">
    <w:name w:val="city-state-country"/>
    <w:basedOn w:val="DefaultParagraphFont"/>
    <w:rsid w:val="005E1C77"/>
  </w:style>
  <w:style w:type="character" w:customStyle="1" w:styleId="apple-style-span">
    <w:name w:val="apple-style-span"/>
    <w:basedOn w:val="DefaultParagraphFont"/>
    <w:rsid w:val="00B32620"/>
  </w:style>
  <w:style w:type="paragraph" w:styleId="TOC4">
    <w:name w:val="toc 4"/>
    <w:basedOn w:val="Normal"/>
    <w:next w:val="Normal"/>
    <w:autoRedefine/>
    <w:uiPriority w:val="39"/>
    <w:unhideWhenUsed/>
    <w:rsid w:val="00242DE8"/>
    <w:pPr>
      <w:spacing w:after="100"/>
      <w:ind w:left="720"/>
    </w:pPr>
    <w:rPr>
      <w:szCs w:val="24"/>
    </w:rPr>
  </w:style>
  <w:style w:type="paragraph" w:styleId="TOC6">
    <w:name w:val="toc 6"/>
    <w:basedOn w:val="Normal"/>
    <w:next w:val="Normal"/>
    <w:autoRedefine/>
    <w:uiPriority w:val="39"/>
    <w:unhideWhenUsed/>
    <w:rsid w:val="00242DE8"/>
    <w:pPr>
      <w:spacing w:after="100"/>
      <w:ind w:left="1200"/>
    </w:pPr>
    <w:rPr>
      <w:szCs w:val="24"/>
    </w:rPr>
  </w:style>
  <w:style w:type="paragraph" w:styleId="TOC7">
    <w:name w:val="toc 7"/>
    <w:basedOn w:val="Normal"/>
    <w:next w:val="Normal"/>
    <w:autoRedefine/>
    <w:uiPriority w:val="39"/>
    <w:unhideWhenUsed/>
    <w:rsid w:val="00242DE8"/>
    <w:pPr>
      <w:spacing w:after="100"/>
      <w:ind w:left="1440"/>
    </w:pPr>
    <w:rPr>
      <w:szCs w:val="24"/>
    </w:rPr>
  </w:style>
  <w:style w:type="paragraph" w:styleId="TOC8">
    <w:name w:val="toc 8"/>
    <w:basedOn w:val="Normal"/>
    <w:next w:val="Normal"/>
    <w:autoRedefine/>
    <w:uiPriority w:val="39"/>
    <w:unhideWhenUsed/>
    <w:rsid w:val="00242DE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2DE8"/>
    <w:pPr>
      <w:spacing w:after="100" w:line="276" w:lineRule="auto"/>
      <w:ind w:left="1760"/>
    </w:pPr>
    <w:rPr>
      <w:rFonts w:asciiTheme="minorHAnsi" w:eastAsiaTheme="minorEastAsia" w:hAnsiTheme="minorHAnsi" w:cstheme="minorBidi"/>
      <w:sz w:val="22"/>
      <w:szCs w:val="22"/>
    </w:rPr>
  </w:style>
  <w:style w:type="character" w:customStyle="1" w:styleId="ui-ncbitoggler-master-text">
    <w:name w:val="ui-ncbitoggler-master-text"/>
    <w:basedOn w:val="DefaultParagraphFont"/>
    <w:rsid w:val="00242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30"/>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F21B3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E3A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3A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3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E3A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E3AF7"/>
    <w:rPr>
      <w:rFonts w:asciiTheme="majorHAnsi" w:eastAsiaTheme="majorEastAsia" w:hAnsiTheme="majorHAnsi" w:cstheme="majorBidi"/>
      <w:b/>
      <w:bCs/>
      <w:color w:val="4F81BD" w:themeColor="accent1"/>
      <w:sz w:val="24"/>
      <w:szCs w:val="24"/>
    </w:rPr>
  </w:style>
  <w:style w:type="paragraph" w:customStyle="1" w:styleId="ParagraphIndent">
    <w:name w:val="ParagraphIndent"/>
    <w:qFormat/>
    <w:rsid w:val="00F21B30"/>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F21B30"/>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F21B30"/>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F21B30"/>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F21B30"/>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F21B30"/>
    <w:pPr>
      <w:spacing w:before="100" w:beforeAutospacing="1" w:after="100" w:afterAutospacing="1"/>
    </w:pPr>
    <w:rPr>
      <w:rFonts w:ascii="Times New Roman" w:hAnsi="Times New Roman"/>
      <w:szCs w:val="24"/>
    </w:rPr>
  </w:style>
  <w:style w:type="paragraph" w:customStyle="1" w:styleId="PageNumber">
    <w:name w:val="PageNumber"/>
    <w:qFormat/>
    <w:rsid w:val="00F21B30"/>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F21B30"/>
    <w:pPr>
      <w:keepNext/>
      <w:spacing w:before="240" w:after="60" w:line="240" w:lineRule="auto"/>
    </w:pPr>
    <w:rPr>
      <w:rFonts w:ascii="Arial" w:eastAsia="Calibri" w:hAnsi="Arial" w:cs="Arial"/>
      <w:b/>
      <w:sz w:val="32"/>
      <w:szCs w:val="32"/>
    </w:rPr>
  </w:style>
  <w:style w:type="table" w:customStyle="1" w:styleId="AHRQ1">
    <w:name w:val="AHRQ1"/>
    <w:basedOn w:val="TableGrid"/>
    <w:rsid w:val="004170B0"/>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F21B3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8F29BE"/>
    <w:pPr>
      <w:tabs>
        <w:tab w:val="left" w:pos="810"/>
        <w:tab w:val="right" w:leader="dot" w:pos="9360"/>
      </w:tabs>
    </w:pPr>
    <w:rPr>
      <w:rFonts w:ascii="Times New Roman" w:hAnsi="Times New Roman"/>
      <w:b/>
      <w:bCs/>
      <w:noProof/>
      <w:szCs w:val="24"/>
      <w:lang w:val="en-CA"/>
    </w:rPr>
  </w:style>
  <w:style w:type="paragraph" w:styleId="TOC2">
    <w:name w:val="toc 2"/>
    <w:basedOn w:val="Normal"/>
    <w:next w:val="Normal"/>
    <w:autoRedefine/>
    <w:uiPriority w:val="39"/>
    <w:rsid w:val="00D04F88"/>
    <w:pPr>
      <w:tabs>
        <w:tab w:val="right" w:leader="dot" w:pos="9360"/>
      </w:tabs>
      <w:ind w:left="240"/>
    </w:pPr>
    <w:rPr>
      <w:rFonts w:ascii="Times New Roman" w:hAnsi="Times New Roman"/>
      <w:szCs w:val="24"/>
      <w:lang w:val="en-CA"/>
    </w:rPr>
  </w:style>
  <w:style w:type="paragraph" w:customStyle="1" w:styleId="ChapterHeading">
    <w:name w:val="ChapterHeading"/>
    <w:qFormat/>
    <w:rsid w:val="00F21B30"/>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F21B30"/>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F21B30"/>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F21B30"/>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F21B30"/>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F21B30"/>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F21B30"/>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F21B3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21B30"/>
    <w:rPr>
      <w:rFonts w:ascii="Calibri" w:eastAsia="Calibri" w:hAnsi="Calibri" w:cs="Times New Roman"/>
    </w:rPr>
  </w:style>
  <w:style w:type="paragraph" w:customStyle="1" w:styleId="Level5Heading">
    <w:name w:val="Level5Heading"/>
    <w:qFormat/>
    <w:rsid w:val="00F21B30"/>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F21B30"/>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F21B30"/>
    <w:rPr>
      <w:rFonts w:ascii="Tahoma" w:hAnsi="Tahoma" w:cs="Tahoma"/>
      <w:sz w:val="16"/>
      <w:szCs w:val="16"/>
    </w:rPr>
  </w:style>
  <w:style w:type="character" w:customStyle="1" w:styleId="BalloonTextChar">
    <w:name w:val="Balloon Text Char"/>
    <w:basedOn w:val="DefaultParagraphFont"/>
    <w:link w:val="BalloonText"/>
    <w:uiPriority w:val="99"/>
    <w:semiHidden/>
    <w:rsid w:val="00F21B30"/>
    <w:rPr>
      <w:rFonts w:ascii="Tahoma" w:eastAsia="Times New Roman" w:hAnsi="Tahoma" w:cs="Tahoma"/>
      <w:sz w:val="16"/>
      <w:szCs w:val="16"/>
    </w:rPr>
  </w:style>
  <w:style w:type="character" w:styleId="CommentReference">
    <w:name w:val="annotation reference"/>
    <w:basedOn w:val="DefaultParagraphFont"/>
    <w:uiPriority w:val="99"/>
    <w:rsid w:val="00F21B30"/>
    <w:rPr>
      <w:sz w:val="16"/>
      <w:szCs w:val="16"/>
    </w:rPr>
  </w:style>
  <w:style w:type="paragraph" w:styleId="CommentText">
    <w:name w:val="annotation text"/>
    <w:basedOn w:val="Normal"/>
    <w:link w:val="CommentTextChar"/>
    <w:uiPriority w:val="99"/>
    <w:rsid w:val="00F21B3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5E3AF7"/>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21B30"/>
    <w:rPr>
      <w:b/>
      <w:bCs/>
    </w:rPr>
  </w:style>
  <w:style w:type="character" w:customStyle="1" w:styleId="CommentSubjectChar">
    <w:name w:val="Comment Subject Char"/>
    <w:basedOn w:val="CommentTextChar"/>
    <w:link w:val="CommentSubject"/>
    <w:semiHidden/>
    <w:rsid w:val="005E3AF7"/>
    <w:rPr>
      <w:rFonts w:ascii="Calibri" w:eastAsia="Calibri" w:hAnsi="Calibri" w:cs="Times New Roman"/>
      <w:b/>
      <w:bCs/>
      <w:sz w:val="20"/>
      <w:szCs w:val="20"/>
    </w:rPr>
  </w:style>
  <w:style w:type="paragraph" w:customStyle="1" w:styleId="PreparedForText">
    <w:name w:val="PreparedForText"/>
    <w:qFormat/>
    <w:rsid w:val="00F21B30"/>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F21B30"/>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F21B30"/>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F21B30"/>
    <w:pPr>
      <w:spacing w:after="0" w:line="240" w:lineRule="auto"/>
    </w:pPr>
    <w:rPr>
      <w:rFonts w:ascii="Times New Roman" w:eastAsia="Times New Roman" w:hAnsi="Times New Roman" w:cs="Times New Roman"/>
      <w:bCs/>
      <w:sz w:val="24"/>
      <w:szCs w:val="24"/>
    </w:rPr>
  </w:style>
  <w:style w:type="paragraph" w:customStyle="1" w:styleId="Investigators">
    <w:name w:val="Investigators"/>
    <w:uiPriority w:val="99"/>
    <w:qFormat/>
    <w:rsid w:val="00F21B30"/>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F21B30"/>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F21B30"/>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F21B30"/>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F21B30"/>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F21B30"/>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F21B30"/>
    <w:pPr>
      <w:spacing w:after="0" w:line="240" w:lineRule="auto"/>
      <w:jc w:val="center"/>
    </w:pPr>
    <w:rPr>
      <w:rFonts w:ascii="Arial" w:eastAsia="Calibri" w:hAnsi="Arial" w:cs="Arial"/>
      <w:b/>
      <w:bCs/>
      <w:sz w:val="18"/>
      <w:szCs w:val="18"/>
    </w:rPr>
  </w:style>
  <w:style w:type="paragraph" w:customStyle="1" w:styleId="TableSubhead">
    <w:name w:val="TableSubhead"/>
    <w:qFormat/>
    <w:rsid w:val="00F21B30"/>
    <w:pPr>
      <w:spacing w:after="0" w:line="240" w:lineRule="auto"/>
    </w:pPr>
    <w:rPr>
      <w:rFonts w:ascii="Arial" w:eastAsia="Calibri" w:hAnsi="Arial" w:cs="Arial"/>
      <w:b/>
      <w:i/>
      <w:sz w:val="18"/>
      <w:szCs w:val="18"/>
    </w:rPr>
  </w:style>
  <w:style w:type="paragraph" w:customStyle="1" w:styleId="TableText">
    <w:name w:val="TableText"/>
    <w:qFormat/>
    <w:rsid w:val="00F21B30"/>
    <w:pPr>
      <w:spacing w:after="0" w:line="240" w:lineRule="auto"/>
    </w:pPr>
    <w:rPr>
      <w:rFonts w:ascii="Arial" w:eastAsia="Calibri" w:hAnsi="Arial" w:cs="Arial"/>
      <w:sz w:val="18"/>
      <w:szCs w:val="18"/>
    </w:rPr>
  </w:style>
  <w:style w:type="paragraph" w:customStyle="1" w:styleId="Level6Heading">
    <w:name w:val="Level6Heading"/>
    <w:qFormat/>
    <w:rsid w:val="00F21B30"/>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F21B30"/>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F21B30"/>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F21B30"/>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F21B30"/>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F21B30"/>
    <w:pPr>
      <w:spacing w:after="0" w:line="240" w:lineRule="auto"/>
      <w:jc w:val="center"/>
    </w:pPr>
    <w:rPr>
      <w:rFonts w:ascii="Arial" w:eastAsia="Calibri" w:hAnsi="Arial" w:cs="Arial"/>
      <w:sz w:val="18"/>
      <w:szCs w:val="18"/>
    </w:rPr>
  </w:style>
  <w:style w:type="paragraph" w:customStyle="1" w:styleId="TableLeftText">
    <w:name w:val="TableLeftText"/>
    <w:qFormat/>
    <w:rsid w:val="00F21B30"/>
    <w:pPr>
      <w:spacing w:after="0" w:line="240" w:lineRule="auto"/>
    </w:pPr>
    <w:rPr>
      <w:rFonts w:ascii="Arial" w:eastAsia="Calibri" w:hAnsi="Arial" w:cs="Arial"/>
      <w:sz w:val="18"/>
      <w:szCs w:val="18"/>
    </w:rPr>
  </w:style>
  <w:style w:type="paragraph" w:customStyle="1" w:styleId="TableBoldText">
    <w:name w:val="TableBoldText"/>
    <w:qFormat/>
    <w:rsid w:val="00F21B30"/>
    <w:pPr>
      <w:spacing w:after="0" w:line="240" w:lineRule="auto"/>
    </w:pPr>
    <w:rPr>
      <w:rFonts w:ascii="Arial" w:eastAsia="Calibri" w:hAnsi="Arial" w:cs="Arial"/>
      <w:b/>
      <w:sz w:val="18"/>
      <w:szCs w:val="18"/>
    </w:rPr>
  </w:style>
  <w:style w:type="paragraph" w:customStyle="1" w:styleId="Studies1">
    <w:name w:val="Studies1"/>
    <w:qFormat/>
    <w:rsid w:val="00F21B30"/>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F21B30"/>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F21B30"/>
    <w:pPr>
      <w:numPr>
        <w:numId w:val="3"/>
      </w:numPr>
      <w:ind w:left="720"/>
    </w:pPr>
  </w:style>
  <w:style w:type="paragraph" w:customStyle="1" w:styleId="ReportSubtitle">
    <w:name w:val="ReportSubtitle"/>
    <w:qFormat/>
    <w:rsid w:val="00F21B30"/>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F21B30"/>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F21B30"/>
    <w:pPr>
      <w:tabs>
        <w:tab w:val="center" w:pos="4680"/>
        <w:tab w:val="right" w:pos="9360"/>
      </w:tabs>
    </w:pPr>
  </w:style>
  <w:style w:type="character" w:customStyle="1" w:styleId="FooterChar">
    <w:name w:val="Footer Char"/>
    <w:basedOn w:val="DefaultParagraphFont"/>
    <w:link w:val="Footer"/>
    <w:uiPriority w:val="99"/>
    <w:rsid w:val="00F21B30"/>
    <w:rPr>
      <w:rFonts w:ascii="Times" w:eastAsia="Times New Roman" w:hAnsi="Times" w:cs="Times New Roman"/>
      <w:sz w:val="24"/>
      <w:szCs w:val="20"/>
    </w:rPr>
  </w:style>
  <w:style w:type="paragraph" w:styleId="ListParagraph">
    <w:name w:val="List Paragraph"/>
    <w:basedOn w:val="Normal"/>
    <w:uiPriority w:val="34"/>
    <w:qFormat/>
    <w:rsid w:val="005E3AF7"/>
    <w:pPr>
      <w:ind w:left="720"/>
      <w:contextualSpacing/>
    </w:pPr>
    <w:rPr>
      <w:rFonts w:ascii="Arial" w:eastAsia="ヒラギノ角ゴ Pro W3" w:hAnsi="Arial"/>
      <w:color w:val="000000"/>
    </w:rPr>
  </w:style>
  <w:style w:type="paragraph" w:customStyle="1" w:styleId="text">
    <w:name w:val="text"/>
    <w:rsid w:val="005E3AF7"/>
    <w:pPr>
      <w:spacing w:before="120" w:after="0" w:line="240" w:lineRule="auto"/>
      <w:ind w:firstLine="720"/>
    </w:pPr>
    <w:rPr>
      <w:rFonts w:ascii="Arial" w:eastAsia="ヒラギノ角ゴ Pro W3" w:hAnsi="Arial" w:cs="Times New Roman"/>
      <w:color w:val="000000"/>
      <w:sz w:val="24"/>
      <w:szCs w:val="24"/>
    </w:rPr>
  </w:style>
  <w:style w:type="paragraph" w:customStyle="1" w:styleId="kqstem-sub1">
    <w:name w:val="kqstem-sub1"/>
    <w:basedOn w:val="Normal"/>
    <w:rsid w:val="005E3AF7"/>
    <w:pPr>
      <w:numPr>
        <w:numId w:val="4"/>
      </w:numPr>
      <w:shd w:val="clear" w:color="auto" w:fill="FFFFFF"/>
      <w:spacing w:before="120"/>
    </w:pPr>
    <w:rPr>
      <w:rFonts w:ascii="Arial" w:hAnsi="Arial" w:cs="Arial"/>
      <w:sz w:val="19"/>
      <w:szCs w:val="19"/>
    </w:rPr>
  </w:style>
  <w:style w:type="character" w:customStyle="1" w:styleId="TextChar">
    <w:name w:val="Text Char"/>
    <w:basedOn w:val="DefaultParagraphFont"/>
    <w:link w:val="Text0"/>
    <w:locked/>
    <w:rsid w:val="005E3AF7"/>
    <w:rPr>
      <w:sz w:val="24"/>
      <w:szCs w:val="24"/>
      <w:shd w:val="clear" w:color="auto" w:fill="FFFFFF"/>
    </w:rPr>
  </w:style>
  <w:style w:type="paragraph" w:customStyle="1" w:styleId="Text0">
    <w:name w:val="Text"/>
    <w:basedOn w:val="Normal"/>
    <w:link w:val="TextChar"/>
    <w:rsid w:val="005E3AF7"/>
    <w:pPr>
      <w:shd w:val="clear" w:color="auto" w:fill="FFFFFF"/>
      <w:spacing w:after="120"/>
    </w:pPr>
    <w:rPr>
      <w:rFonts w:asciiTheme="minorHAnsi" w:eastAsiaTheme="minorHAnsi" w:hAnsiTheme="minorHAnsi" w:cstheme="minorBidi"/>
    </w:rPr>
  </w:style>
  <w:style w:type="paragraph" w:customStyle="1" w:styleId="Heading20">
    <w:name w:val="Heading2"/>
    <w:basedOn w:val="Text0"/>
    <w:qFormat/>
    <w:rsid w:val="005E3AF7"/>
    <w:pPr>
      <w:spacing w:before="120"/>
    </w:pPr>
    <w:rPr>
      <w:b/>
      <w:bCs/>
    </w:rPr>
  </w:style>
  <w:style w:type="paragraph" w:customStyle="1" w:styleId="FigureTitle">
    <w:name w:val="FigureTitle"/>
    <w:basedOn w:val="TableTitle"/>
    <w:qFormat/>
    <w:rsid w:val="005E3AF7"/>
  </w:style>
  <w:style w:type="character" w:styleId="Hyperlink">
    <w:name w:val="Hyperlink"/>
    <w:basedOn w:val="DefaultParagraphFont"/>
    <w:uiPriority w:val="99"/>
    <w:rsid w:val="00F21B30"/>
    <w:rPr>
      <w:color w:val="0000FF"/>
      <w:u w:val="single"/>
    </w:rPr>
  </w:style>
  <w:style w:type="paragraph" w:styleId="FootnoteText">
    <w:name w:val="footnote text"/>
    <w:basedOn w:val="Normal"/>
    <w:link w:val="FootnoteTextChar"/>
    <w:uiPriority w:val="99"/>
    <w:unhideWhenUsed/>
    <w:rsid w:val="005E3AF7"/>
    <w:pPr>
      <w:spacing w:before="20" w:after="20"/>
    </w:pPr>
    <w:rPr>
      <w:rFonts w:ascii="Times New Roman" w:hAnsi="Times New Roman"/>
      <w:sz w:val="20"/>
    </w:rPr>
  </w:style>
  <w:style w:type="character" w:customStyle="1" w:styleId="FootnoteTextChar">
    <w:name w:val="Footnote Text Char"/>
    <w:basedOn w:val="DefaultParagraphFont"/>
    <w:link w:val="FootnoteText"/>
    <w:uiPriority w:val="99"/>
    <w:rsid w:val="005E3AF7"/>
    <w:rPr>
      <w:rFonts w:ascii="Times New Roman" w:eastAsia="Times New Roman" w:hAnsi="Times New Roman" w:cs="Times New Roman"/>
      <w:sz w:val="20"/>
      <w:szCs w:val="24"/>
    </w:rPr>
  </w:style>
  <w:style w:type="paragraph" w:customStyle="1" w:styleId="Tabletext0">
    <w:name w:val="Table text"/>
    <w:basedOn w:val="TableText"/>
    <w:qFormat/>
    <w:rsid w:val="004170B0"/>
  </w:style>
  <w:style w:type="paragraph" w:customStyle="1" w:styleId="TableHeader">
    <w:name w:val="Table Header"/>
    <w:basedOn w:val="Tabletext0"/>
    <w:qFormat/>
    <w:rsid w:val="005E3AF7"/>
    <w:rPr>
      <w:b/>
    </w:rPr>
  </w:style>
  <w:style w:type="paragraph" w:customStyle="1" w:styleId="Tablebullet">
    <w:name w:val="Table bullet"/>
    <w:basedOn w:val="Normal"/>
    <w:qFormat/>
    <w:rsid w:val="005E3AF7"/>
    <w:pPr>
      <w:numPr>
        <w:numId w:val="5"/>
      </w:numPr>
      <w:spacing w:before="20" w:after="20" w:line="276" w:lineRule="auto"/>
      <w:ind w:left="252" w:hanging="180"/>
      <w:contextualSpacing/>
    </w:pPr>
    <w:rPr>
      <w:rFonts w:ascii="Arial" w:eastAsia="Calibri" w:hAnsi="Arial" w:cs="Arial"/>
      <w:sz w:val="18"/>
    </w:rPr>
  </w:style>
  <w:style w:type="paragraph" w:customStyle="1" w:styleId="TableTitlecontinued">
    <w:name w:val="TableTitle(continued)"/>
    <w:basedOn w:val="TableTitle"/>
    <w:qFormat/>
    <w:rsid w:val="005E3AF7"/>
  </w:style>
  <w:style w:type="paragraph" w:styleId="Revision">
    <w:name w:val="Revision"/>
    <w:hidden/>
    <w:uiPriority w:val="99"/>
    <w:rsid w:val="005E3AF7"/>
    <w:pPr>
      <w:spacing w:after="0" w:line="240" w:lineRule="auto"/>
    </w:pPr>
    <w:rPr>
      <w:rFonts w:ascii="Times" w:eastAsia="Times New Roman" w:hAnsi="Times" w:cs="Times New Roman"/>
      <w:sz w:val="24"/>
      <w:szCs w:val="24"/>
    </w:rPr>
  </w:style>
  <w:style w:type="paragraph" w:customStyle="1" w:styleId="BodyText">
    <w:name w:val="BodyText"/>
    <w:basedOn w:val="Normal"/>
    <w:link w:val="BodyTextChar"/>
    <w:rsid w:val="00F21B30"/>
    <w:pPr>
      <w:spacing w:after="120"/>
    </w:pPr>
  </w:style>
  <w:style w:type="character" w:customStyle="1" w:styleId="BodyTextChar">
    <w:name w:val="BodyText Char"/>
    <w:basedOn w:val="DefaultParagraphFont"/>
    <w:link w:val="BodyText"/>
    <w:rsid w:val="00F21B30"/>
    <w:rPr>
      <w:rFonts w:ascii="Times" w:eastAsia="Times New Roman" w:hAnsi="Times" w:cs="Times New Roman"/>
      <w:sz w:val="24"/>
      <w:szCs w:val="20"/>
    </w:rPr>
  </w:style>
  <w:style w:type="table" w:customStyle="1" w:styleId="TableGrid1">
    <w:name w:val="Table Grid1"/>
    <w:basedOn w:val="TableNormal"/>
    <w:next w:val="TableGrid"/>
    <w:uiPriority w:val="9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1">
    <w:name w:val="AHRQ11"/>
    <w:basedOn w:val="TableGrid"/>
    <w:rsid w:val="005E3AF7"/>
    <w:tblPr/>
  </w:style>
  <w:style w:type="character" w:customStyle="1" w:styleId="st">
    <w:name w:val="st"/>
    <w:basedOn w:val="DefaultParagraphFont"/>
    <w:rsid w:val="005E3AF7"/>
  </w:style>
  <w:style w:type="character" w:customStyle="1" w:styleId="ChapterHeadingChar">
    <w:name w:val="Chapter Heading Char"/>
    <w:basedOn w:val="DefaultParagraphFont"/>
    <w:rsid w:val="005E3AF7"/>
    <w:rPr>
      <w:rFonts w:ascii="Arial" w:eastAsia="Times" w:hAnsi="Arial"/>
      <w:b/>
      <w:sz w:val="36"/>
      <w:lang w:val="en-US" w:eastAsia="en-US" w:bidi="ar-SA"/>
    </w:rPr>
  </w:style>
  <w:style w:type="character" w:styleId="Emphasis">
    <w:name w:val="Emphasis"/>
    <w:basedOn w:val="DefaultParagraphFont"/>
    <w:uiPriority w:val="99"/>
    <w:qFormat/>
    <w:rsid w:val="005E3AF7"/>
    <w:rPr>
      <w:i/>
      <w:iCs/>
    </w:rPr>
  </w:style>
  <w:style w:type="paragraph" w:customStyle="1" w:styleId="AHRQBODYTEXT">
    <w:name w:val="AHRQ BODY TEXT"/>
    <w:basedOn w:val="Normal"/>
    <w:link w:val="AHRQBODYTEXTChar"/>
    <w:rsid w:val="005E3AF7"/>
    <w:pPr>
      <w:ind w:firstLine="360"/>
    </w:pPr>
    <w:rPr>
      <w:rFonts w:eastAsia="Times"/>
    </w:rPr>
  </w:style>
  <w:style w:type="character" w:customStyle="1" w:styleId="AHRQBODYTEXTChar">
    <w:name w:val="AHRQ BODY TEXT Char"/>
    <w:basedOn w:val="DefaultParagraphFont"/>
    <w:link w:val="AHRQBODYTEXT"/>
    <w:rsid w:val="005E3AF7"/>
    <w:rPr>
      <w:rFonts w:ascii="Times" w:eastAsia="Times" w:hAnsi="Times" w:cs="Times New Roman"/>
      <w:sz w:val="24"/>
      <w:szCs w:val="20"/>
    </w:rPr>
  </w:style>
  <w:style w:type="paragraph" w:customStyle="1" w:styleId="bullet1blank">
    <w:name w:val="bullet1blank"/>
    <w:basedOn w:val="Heading20"/>
    <w:qFormat/>
    <w:rsid w:val="005E3AF7"/>
    <w:pPr>
      <w:spacing w:before="0" w:after="0"/>
      <w:ind w:left="720" w:hanging="360"/>
    </w:pPr>
    <w:rPr>
      <w:rFonts w:ascii="Times New Roman" w:hAnsi="Times New Roman"/>
      <w:b w:val="0"/>
    </w:rPr>
  </w:style>
  <w:style w:type="paragraph" w:customStyle="1" w:styleId="TableBullet2">
    <w:name w:val="TableBullet2"/>
    <w:basedOn w:val="Tablebullet"/>
    <w:qFormat/>
    <w:rsid w:val="005E3AF7"/>
    <w:pPr>
      <w:numPr>
        <w:numId w:val="8"/>
      </w:numPr>
      <w:spacing w:line="240" w:lineRule="auto"/>
      <w:ind w:left="543" w:hanging="270"/>
      <w:contextualSpacing w:val="0"/>
    </w:pPr>
  </w:style>
  <w:style w:type="paragraph" w:styleId="Caption">
    <w:name w:val="caption"/>
    <w:basedOn w:val="Normal"/>
    <w:next w:val="Normal"/>
    <w:uiPriority w:val="35"/>
    <w:unhideWhenUsed/>
    <w:qFormat/>
    <w:rsid w:val="005E3AF7"/>
    <w:pPr>
      <w:spacing w:after="200"/>
    </w:pPr>
    <w:rPr>
      <w:b/>
      <w:bCs/>
      <w:color w:val="4F81BD" w:themeColor="accent1"/>
      <w:sz w:val="18"/>
      <w:szCs w:val="18"/>
    </w:rPr>
  </w:style>
  <w:style w:type="paragraph" w:customStyle="1" w:styleId="Tablebulletblank">
    <w:name w:val="Table bullet blank"/>
    <w:basedOn w:val="Tablebullet"/>
    <w:qFormat/>
    <w:rsid w:val="005E3AF7"/>
    <w:pPr>
      <w:numPr>
        <w:numId w:val="0"/>
      </w:numPr>
      <w:spacing w:before="0" w:after="0" w:line="240" w:lineRule="auto"/>
      <w:ind w:left="187" w:hanging="187"/>
    </w:pPr>
  </w:style>
  <w:style w:type="paragraph" w:styleId="TableofFigures">
    <w:name w:val="table of figures"/>
    <w:basedOn w:val="Normal"/>
    <w:next w:val="Normal"/>
    <w:uiPriority w:val="99"/>
    <w:unhideWhenUsed/>
    <w:rsid w:val="005E3AF7"/>
  </w:style>
  <w:style w:type="paragraph" w:styleId="TOC5">
    <w:name w:val="toc 5"/>
    <w:basedOn w:val="Normal"/>
    <w:next w:val="Normal"/>
    <w:autoRedefine/>
    <w:uiPriority w:val="39"/>
    <w:unhideWhenUsed/>
    <w:rsid w:val="005E3AF7"/>
    <w:pPr>
      <w:tabs>
        <w:tab w:val="right" w:leader="dot" w:pos="9350"/>
      </w:tabs>
    </w:pPr>
  </w:style>
  <w:style w:type="paragraph" w:styleId="TOC3">
    <w:name w:val="toc 3"/>
    <w:basedOn w:val="Normal"/>
    <w:next w:val="Normal"/>
    <w:autoRedefine/>
    <w:uiPriority w:val="39"/>
    <w:unhideWhenUsed/>
    <w:rsid w:val="00D04F88"/>
    <w:pPr>
      <w:tabs>
        <w:tab w:val="right" w:leader="dot" w:pos="9360"/>
      </w:tabs>
      <w:ind w:left="475"/>
    </w:pPr>
  </w:style>
  <w:style w:type="table" w:customStyle="1" w:styleId="TableGrid7">
    <w:name w:val="Table Grid7"/>
    <w:basedOn w:val="TableNormal"/>
    <w:next w:val="TableGrid"/>
    <w:uiPriority w:val="59"/>
    <w:rsid w:val="005E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0">
    <w:name w:val="TableTitleContinued"/>
    <w:basedOn w:val="TableTitle"/>
    <w:qFormat/>
    <w:rsid w:val="005E3AF7"/>
  </w:style>
  <w:style w:type="paragraph" w:customStyle="1" w:styleId="Style1">
    <w:name w:val="Style1"/>
    <w:basedOn w:val="Normal"/>
    <w:link w:val="Style1Char"/>
    <w:autoRedefine/>
    <w:qFormat/>
    <w:rsid w:val="005E3AF7"/>
    <w:rPr>
      <w:rFonts w:ascii="Comic Sans MS" w:hAnsi="Comic Sans MS"/>
      <w:color w:val="1F497D" w:themeColor="text2"/>
      <w:sz w:val="20"/>
    </w:rPr>
  </w:style>
  <w:style w:type="numbering" w:customStyle="1" w:styleId="NoList1">
    <w:name w:val="No List1"/>
    <w:next w:val="NoList"/>
    <w:uiPriority w:val="99"/>
    <w:semiHidden/>
    <w:unhideWhenUsed/>
    <w:rsid w:val="005E3AF7"/>
  </w:style>
  <w:style w:type="table" w:customStyle="1" w:styleId="TableGrid8">
    <w:name w:val="Table Grid8"/>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E3AF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0">
    <w:name w:val="page number"/>
    <w:rsid w:val="005E3AF7"/>
    <w:rPr>
      <w:rFonts w:ascii="Verdana" w:hAnsi="Verdana"/>
      <w:b/>
      <w:sz w:val="20"/>
    </w:rPr>
  </w:style>
  <w:style w:type="paragraph" w:customStyle="1" w:styleId="TableTextHeading">
    <w:name w:val="TableTextHeading"/>
    <w:basedOn w:val="TableText"/>
    <w:qFormat/>
    <w:rsid w:val="005E3AF7"/>
    <w:pPr>
      <w:autoSpaceDE w:val="0"/>
      <w:autoSpaceDN w:val="0"/>
      <w:adjustRightInd w:val="0"/>
      <w:spacing w:before="60"/>
    </w:pPr>
    <w:rPr>
      <w:b/>
    </w:rPr>
  </w:style>
  <w:style w:type="paragraph" w:customStyle="1" w:styleId="GlossaryChapterHeading">
    <w:name w:val="GlossaryChapterHeading"/>
    <w:basedOn w:val="ChapterHeading"/>
    <w:qFormat/>
    <w:rsid w:val="005E3AF7"/>
  </w:style>
  <w:style w:type="character" w:customStyle="1" w:styleId="highlight">
    <w:name w:val="highlight"/>
    <w:basedOn w:val="DefaultParagraphFont"/>
    <w:rsid w:val="005E3AF7"/>
  </w:style>
  <w:style w:type="character" w:styleId="FollowedHyperlink">
    <w:name w:val="FollowedHyperlink"/>
    <w:basedOn w:val="DefaultParagraphFont"/>
    <w:uiPriority w:val="99"/>
    <w:semiHidden/>
    <w:unhideWhenUsed/>
    <w:rsid w:val="005E3AF7"/>
    <w:rPr>
      <w:color w:val="800080" w:themeColor="followedHyperlink"/>
      <w:u w:val="single"/>
    </w:rPr>
  </w:style>
  <w:style w:type="paragraph" w:customStyle="1" w:styleId="AppChapterHeading">
    <w:name w:val="AppChapterHeading"/>
    <w:basedOn w:val="ChapterHeading"/>
    <w:qFormat/>
    <w:rsid w:val="005E3AF7"/>
  </w:style>
  <w:style w:type="paragraph" w:customStyle="1" w:styleId="AppLevel1Heading">
    <w:name w:val="AppLevel1Heading"/>
    <w:basedOn w:val="Level1Heading"/>
    <w:qFormat/>
    <w:rsid w:val="005E3AF7"/>
  </w:style>
  <w:style w:type="paragraph" w:customStyle="1" w:styleId="AppTableTitle">
    <w:name w:val="AppTableTitle"/>
    <w:basedOn w:val="TableTitle"/>
    <w:qFormat/>
    <w:rsid w:val="005E3AF7"/>
  </w:style>
  <w:style w:type="paragraph" w:customStyle="1" w:styleId="TitlePageReportNumber">
    <w:name w:val="Title Page Report Number"/>
    <w:basedOn w:val="Normal"/>
    <w:rsid w:val="005E3AF7"/>
    <w:rPr>
      <w:rFonts w:ascii="Arial" w:eastAsia="Times" w:hAnsi="Arial"/>
      <w:b/>
      <w:sz w:val="28"/>
    </w:rPr>
  </w:style>
  <w:style w:type="paragraph" w:customStyle="1" w:styleId="Default">
    <w:name w:val="Default"/>
    <w:rsid w:val="005E3A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itle0">
    <w:name w:val="tabletitle"/>
    <w:basedOn w:val="TableTitle"/>
    <w:rsid w:val="005E3AF7"/>
  </w:style>
  <w:style w:type="table" w:customStyle="1" w:styleId="EPC">
    <w:name w:val="EPC"/>
    <w:basedOn w:val="TableNormal"/>
    <w:uiPriority w:val="99"/>
    <w:rsid w:val="005E3AF7"/>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table" w:customStyle="1" w:styleId="AHRQ12">
    <w:name w:val="AHRQ12"/>
    <w:basedOn w:val="TableGrid"/>
    <w:rsid w:val="00B555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customStyle="1" w:styleId="Style1Char">
    <w:name w:val="Style1 Char"/>
    <w:link w:val="Style1"/>
    <w:locked/>
    <w:rsid w:val="005E3AF7"/>
    <w:rPr>
      <w:rFonts w:ascii="Comic Sans MS" w:eastAsia="Times New Roman" w:hAnsi="Comic Sans MS" w:cs="Times New Roman"/>
      <w:color w:val="1F497D" w:themeColor="text2"/>
      <w:sz w:val="20"/>
      <w:szCs w:val="24"/>
    </w:rPr>
  </w:style>
  <w:style w:type="paragraph" w:customStyle="1" w:styleId="BulletBlank">
    <w:name w:val="BulletBlank"/>
    <w:basedOn w:val="Bullet1"/>
    <w:qFormat/>
    <w:rsid w:val="005E3AF7"/>
    <w:pPr>
      <w:numPr>
        <w:numId w:val="0"/>
      </w:numPr>
      <w:ind w:left="720" w:hanging="360"/>
    </w:pPr>
    <w:rPr>
      <w:shd w:val="clear" w:color="auto" w:fill="FFFFFF"/>
    </w:rPr>
  </w:style>
  <w:style w:type="character" w:customStyle="1" w:styleId="KQstemChar">
    <w:name w:val="KQ stem Char"/>
    <w:link w:val="KQstem"/>
    <w:locked/>
    <w:rsid w:val="005E3AF7"/>
    <w:rPr>
      <w:rFonts w:ascii="Arial" w:hAnsi="Arial"/>
      <w:sz w:val="19"/>
      <w:shd w:val="clear" w:color="auto" w:fill="FFFFFF"/>
    </w:rPr>
  </w:style>
  <w:style w:type="paragraph" w:customStyle="1" w:styleId="KQstem">
    <w:name w:val="KQ stem"/>
    <w:basedOn w:val="Normal"/>
    <w:link w:val="KQstemChar"/>
    <w:rsid w:val="005E3AF7"/>
    <w:pPr>
      <w:shd w:val="clear" w:color="auto" w:fill="FFFFFF"/>
      <w:spacing w:after="206" w:line="360" w:lineRule="atLeast"/>
      <w:ind w:left="360" w:hanging="360"/>
    </w:pPr>
    <w:rPr>
      <w:rFonts w:ascii="Arial" w:eastAsiaTheme="minorHAnsi" w:hAnsi="Arial" w:cstheme="minorBidi"/>
      <w:sz w:val="19"/>
      <w:szCs w:val="22"/>
    </w:rPr>
  </w:style>
  <w:style w:type="paragraph" w:styleId="NoSpacing">
    <w:name w:val="No Spacing"/>
    <w:uiPriority w:val="1"/>
    <w:qFormat/>
    <w:rsid w:val="005E3AF7"/>
    <w:pPr>
      <w:spacing w:after="0" w:line="240" w:lineRule="auto"/>
    </w:pPr>
    <w:rPr>
      <w:rFonts w:ascii="Times" w:eastAsia="Times New Roman" w:hAnsi="Times" w:cs="Times"/>
      <w:sz w:val="24"/>
      <w:szCs w:val="24"/>
    </w:rPr>
  </w:style>
  <w:style w:type="paragraph" w:customStyle="1" w:styleId="KeyQuestion0">
    <w:name w:val="Key Question"/>
    <w:basedOn w:val="Normal"/>
    <w:qFormat/>
    <w:rsid w:val="005E3AF7"/>
    <w:pPr>
      <w:keepNext/>
      <w:keepLines/>
      <w:widowControl w:val="0"/>
      <w:tabs>
        <w:tab w:val="left" w:pos="450"/>
      </w:tabs>
      <w:spacing w:before="240" w:after="200" w:line="276" w:lineRule="auto"/>
      <w:ind w:left="450" w:hanging="450"/>
    </w:pPr>
    <w:rPr>
      <w:rFonts w:ascii="Calibri" w:eastAsia="Calibri" w:hAnsi="Calibri" w:cs="Times"/>
      <w:sz w:val="22"/>
      <w:szCs w:val="22"/>
    </w:rPr>
  </w:style>
  <w:style w:type="paragraph" w:styleId="PlainText">
    <w:name w:val="Plain Text"/>
    <w:basedOn w:val="Normal"/>
    <w:link w:val="PlainTextChar"/>
    <w:uiPriority w:val="99"/>
    <w:rsid w:val="005E3AF7"/>
    <w:pPr>
      <w:spacing w:after="200" w:line="276"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E3AF7"/>
    <w:rPr>
      <w:rFonts w:ascii="Consolas" w:eastAsia="Calibri" w:hAnsi="Consolas" w:cs="Arial"/>
      <w:sz w:val="21"/>
      <w:szCs w:val="21"/>
    </w:rPr>
  </w:style>
  <w:style w:type="paragraph" w:styleId="DocumentMap">
    <w:name w:val="Document Map"/>
    <w:basedOn w:val="Normal"/>
    <w:link w:val="DocumentMapChar"/>
    <w:uiPriority w:val="99"/>
    <w:semiHidden/>
    <w:rsid w:val="005E3AF7"/>
    <w:pPr>
      <w:spacing w:after="200" w:line="276" w:lineRule="auto"/>
    </w:pPr>
    <w:rPr>
      <w:rFonts w:ascii="Tahoma" w:eastAsia="Calibri" w:hAnsi="Tahoma" w:cs="Arial"/>
      <w:sz w:val="16"/>
      <w:szCs w:val="16"/>
    </w:rPr>
  </w:style>
  <w:style w:type="character" w:customStyle="1" w:styleId="DocumentMapChar">
    <w:name w:val="Document Map Char"/>
    <w:basedOn w:val="DefaultParagraphFont"/>
    <w:link w:val="DocumentMap"/>
    <w:uiPriority w:val="99"/>
    <w:semiHidden/>
    <w:rsid w:val="005E3AF7"/>
    <w:rPr>
      <w:rFonts w:ascii="Tahoma" w:eastAsia="Calibri" w:hAnsi="Tahoma" w:cs="Arial"/>
      <w:sz w:val="16"/>
      <w:szCs w:val="16"/>
    </w:rPr>
  </w:style>
  <w:style w:type="paragraph" w:customStyle="1" w:styleId="TableTitle1">
    <w:name w:val="Table Title"/>
    <w:basedOn w:val="Normal"/>
    <w:link w:val="TableTitleChar"/>
    <w:uiPriority w:val="99"/>
    <w:rsid w:val="005E3AF7"/>
    <w:pPr>
      <w:keepNext/>
      <w:spacing w:before="120" w:after="200" w:line="276" w:lineRule="auto"/>
    </w:pPr>
    <w:rPr>
      <w:rFonts w:ascii="Arial" w:eastAsia="Calibri" w:hAnsi="Arial"/>
      <w:b/>
      <w:bCs/>
      <w:sz w:val="20"/>
      <w:szCs w:val="22"/>
    </w:rPr>
  </w:style>
  <w:style w:type="character" w:customStyle="1" w:styleId="TableTitleChar">
    <w:name w:val="Table Title Char"/>
    <w:link w:val="TableTitle1"/>
    <w:uiPriority w:val="99"/>
    <w:locked/>
    <w:rsid w:val="005E3AF7"/>
    <w:rPr>
      <w:rFonts w:ascii="Arial" w:eastAsia="Calibri" w:hAnsi="Arial" w:cs="Times New Roman"/>
      <w:b/>
      <w:bCs/>
      <w:sz w:val="20"/>
    </w:rPr>
  </w:style>
  <w:style w:type="character" w:styleId="Strong">
    <w:name w:val="Strong"/>
    <w:uiPriority w:val="22"/>
    <w:qFormat/>
    <w:rsid w:val="005E3AF7"/>
    <w:rPr>
      <w:rFonts w:cs="Times New Roman"/>
      <w:b/>
      <w:bCs/>
    </w:rPr>
  </w:style>
  <w:style w:type="paragraph" w:customStyle="1" w:styleId="text-bullets3">
    <w:name w:val="text - bullets 3"/>
    <w:basedOn w:val="Normal"/>
    <w:uiPriority w:val="99"/>
    <w:rsid w:val="005E3AF7"/>
    <w:pPr>
      <w:keepLines/>
      <w:widowControl w:val="0"/>
      <w:numPr>
        <w:numId w:val="9"/>
      </w:numPr>
      <w:tabs>
        <w:tab w:val="num" w:pos="1260"/>
      </w:tabs>
      <w:spacing w:after="200" w:line="276" w:lineRule="auto"/>
      <w:ind w:left="1080"/>
    </w:pPr>
    <w:rPr>
      <w:rFonts w:ascii="Times New Roman" w:eastAsia="Calibri" w:hAnsi="Times New Roman" w:cs="Arial"/>
      <w:sz w:val="22"/>
      <w:szCs w:val="22"/>
    </w:rPr>
  </w:style>
  <w:style w:type="paragraph" w:customStyle="1" w:styleId="TableText1">
    <w:name w:val="Table Text"/>
    <w:basedOn w:val="Normal"/>
    <w:uiPriority w:val="99"/>
    <w:rsid w:val="005E3AF7"/>
    <w:rPr>
      <w:rFonts w:ascii="Arial" w:hAnsi="Arial" w:cs="Arial"/>
      <w:sz w:val="18"/>
      <w:szCs w:val="18"/>
    </w:rPr>
  </w:style>
  <w:style w:type="paragraph" w:customStyle="1" w:styleId="CERexecsumheader1">
    <w:name w:val="CER exec sum header 1"/>
    <w:basedOn w:val="Normal"/>
    <w:uiPriority w:val="99"/>
    <w:rsid w:val="005E3AF7"/>
    <w:pPr>
      <w:keepNext/>
      <w:keepLines/>
      <w:spacing w:before="120"/>
    </w:pPr>
    <w:rPr>
      <w:rFonts w:ascii="Arial" w:hAnsi="Arial" w:cs="Arial"/>
      <w:b/>
      <w:color w:val="000000"/>
      <w:sz w:val="32"/>
    </w:rPr>
  </w:style>
  <w:style w:type="paragraph" w:customStyle="1" w:styleId="Tabletitle2">
    <w:name w:val="Table title"/>
    <w:basedOn w:val="Normal"/>
    <w:qFormat/>
    <w:rsid w:val="005E3AF7"/>
    <w:pPr>
      <w:keepNext/>
      <w:spacing w:before="120" w:after="120"/>
    </w:pPr>
    <w:rPr>
      <w:rFonts w:ascii="Times New Roman" w:hAnsi="Times New Roman"/>
      <w:b/>
    </w:rPr>
  </w:style>
  <w:style w:type="character" w:customStyle="1" w:styleId="CommentTextChar1">
    <w:name w:val="Comment Text Char1"/>
    <w:uiPriority w:val="99"/>
    <w:semiHidden/>
    <w:locked/>
    <w:rsid w:val="005E3AF7"/>
    <w:rPr>
      <w:rFonts w:cs="Times New Roman"/>
    </w:rPr>
  </w:style>
  <w:style w:type="paragraph" w:customStyle="1" w:styleId="text-bullets4">
    <w:name w:val="text - bullets 4"/>
    <w:basedOn w:val="text-bullets3"/>
    <w:qFormat/>
    <w:rsid w:val="005E3AF7"/>
    <w:pPr>
      <w:numPr>
        <w:numId w:val="10"/>
      </w:numPr>
      <w:spacing w:after="0" w:line="240" w:lineRule="auto"/>
      <w:ind w:left="1440"/>
    </w:pPr>
    <w:rPr>
      <w:rFonts w:eastAsia="Times New Roman" w:cs="Times New Roman"/>
      <w:sz w:val="24"/>
      <w:szCs w:val="24"/>
    </w:rPr>
  </w:style>
  <w:style w:type="paragraph" w:customStyle="1" w:styleId="ES-Level1Heading">
    <w:name w:val="ES-Level1Heading"/>
    <w:basedOn w:val="Level1Heading"/>
    <w:qFormat/>
    <w:rsid w:val="005E3AF7"/>
  </w:style>
  <w:style w:type="paragraph" w:customStyle="1" w:styleId="ES-Level2Heading">
    <w:name w:val="ES-Level2Heading"/>
    <w:basedOn w:val="Level2Heading"/>
    <w:qFormat/>
    <w:rsid w:val="005E3AF7"/>
  </w:style>
  <w:style w:type="paragraph" w:customStyle="1" w:styleId="StructuredAbstractText">
    <w:name w:val="StructuredAbstractText"/>
    <w:basedOn w:val="Normal"/>
    <w:qFormat/>
    <w:rsid w:val="005E3AF7"/>
    <w:pPr>
      <w:spacing w:after="120"/>
    </w:pPr>
  </w:style>
  <w:style w:type="paragraph" w:customStyle="1" w:styleId="ref">
    <w:name w:val="ref"/>
    <w:basedOn w:val="Text0"/>
    <w:qFormat/>
    <w:rsid w:val="005E3AF7"/>
    <w:pPr>
      <w:shd w:val="clear" w:color="auto" w:fill="auto"/>
      <w:spacing w:before="120" w:after="0"/>
      <w:ind w:left="720" w:hanging="720"/>
    </w:pPr>
    <w:rPr>
      <w:rFonts w:ascii="Times New Roman" w:eastAsia="Times New Roman" w:hAnsi="Times New Roman"/>
    </w:rPr>
  </w:style>
  <w:style w:type="paragraph" w:customStyle="1" w:styleId="HeadingA">
    <w:name w:val="Heading A"/>
    <w:uiPriority w:val="99"/>
    <w:rsid w:val="005E3AF7"/>
    <w:pPr>
      <w:tabs>
        <w:tab w:val="left" w:pos="1080"/>
      </w:tabs>
      <w:spacing w:before="240" w:after="0" w:line="240" w:lineRule="auto"/>
      <w:ind w:left="1080" w:hanging="360"/>
    </w:pPr>
    <w:rPr>
      <w:rFonts w:ascii="Times New Roman" w:eastAsia="ヒラギノ角ゴ Pro W3" w:hAnsi="Times New Roman" w:cs="Times New Roman"/>
      <w:color w:val="000000"/>
      <w:sz w:val="24"/>
      <w:szCs w:val="20"/>
    </w:rPr>
  </w:style>
  <w:style w:type="table" w:customStyle="1" w:styleId="MediumShading1-Accent11">
    <w:name w:val="Medium Shading 1 - Accent 11"/>
    <w:basedOn w:val="TableNormal"/>
    <w:uiPriority w:val="63"/>
    <w:rsid w:val="005E3AF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shd w:val="clear" w:color="auto" w:fill="0070C0"/>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CCECFF"/>
      </w:tcPr>
    </w:tblStylePr>
    <w:tblStylePr w:type="band2Horz">
      <w:tblPr/>
      <w:tcPr>
        <w:tcBorders>
          <w:insideH w:val="nil"/>
          <w:insideV w:val="nil"/>
        </w:tcBorders>
      </w:tcPr>
    </w:tblStylePr>
  </w:style>
  <w:style w:type="character" w:customStyle="1" w:styleId="copypaste">
    <w:name w:val="copypaste"/>
    <w:basedOn w:val="DefaultParagraphFont"/>
    <w:rsid w:val="005E3AF7"/>
  </w:style>
  <w:style w:type="character" w:customStyle="1" w:styleId="city-state-country">
    <w:name w:val="city-state-country"/>
    <w:basedOn w:val="DefaultParagraphFont"/>
    <w:rsid w:val="005E1C77"/>
  </w:style>
  <w:style w:type="character" w:customStyle="1" w:styleId="apple-style-span">
    <w:name w:val="apple-style-span"/>
    <w:basedOn w:val="DefaultParagraphFont"/>
    <w:rsid w:val="00B32620"/>
  </w:style>
  <w:style w:type="paragraph" w:styleId="TOC4">
    <w:name w:val="toc 4"/>
    <w:basedOn w:val="Normal"/>
    <w:next w:val="Normal"/>
    <w:autoRedefine/>
    <w:uiPriority w:val="39"/>
    <w:unhideWhenUsed/>
    <w:rsid w:val="00242DE8"/>
    <w:pPr>
      <w:spacing w:after="100"/>
      <w:ind w:left="720"/>
    </w:pPr>
    <w:rPr>
      <w:szCs w:val="24"/>
    </w:rPr>
  </w:style>
  <w:style w:type="paragraph" w:styleId="TOC6">
    <w:name w:val="toc 6"/>
    <w:basedOn w:val="Normal"/>
    <w:next w:val="Normal"/>
    <w:autoRedefine/>
    <w:uiPriority w:val="39"/>
    <w:unhideWhenUsed/>
    <w:rsid w:val="00242DE8"/>
    <w:pPr>
      <w:spacing w:after="100"/>
      <w:ind w:left="1200"/>
    </w:pPr>
    <w:rPr>
      <w:szCs w:val="24"/>
    </w:rPr>
  </w:style>
  <w:style w:type="paragraph" w:styleId="TOC7">
    <w:name w:val="toc 7"/>
    <w:basedOn w:val="Normal"/>
    <w:next w:val="Normal"/>
    <w:autoRedefine/>
    <w:uiPriority w:val="39"/>
    <w:unhideWhenUsed/>
    <w:rsid w:val="00242DE8"/>
    <w:pPr>
      <w:spacing w:after="100"/>
      <w:ind w:left="1440"/>
    </w:pPr>
    <w:rPr>
      <w:szCs w:val="24"/>
    </w:rPr>
  </w:style>
  <w:style w:type="paragraph" w:styleId="TOC8">
    <w:name w:val="toc 8"/>
    <w:basedOn w:val="Normal"/>
    <w:next w:val="Normal"/>
    <w:autoRedefine/>
    <w:uiPriority w:val="39"/>
    <w:unhideWhenUsed/>
    <w:rsid w:val="00242DE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2DE8"/>
    <w:pPr>
      <w:spacing w:after="100" w:line="276" w:lineRule="auto"/>
      <w:ind w:left="1760"/>
    </w:pPr>
    <w:rPr>
      <w:rFonts w:asciiTheme="minorHAnsi" w:eastAsiaTheme="minorEastAsia" w:hAnsiTheme="minorHAnsi" w:cstheme="minorBidi"/>
      <w:sz w:val="22"/>
      <w:szCs w:val="22"/>
    </w:rPr>
  </w:style>
  <w:style w:type="character" w:customStyle="1" w:styleId="ui-ncbitoggler-master-text">
    <w:name w:val="ui-ncbitoggler-master-text"/>
    <w:basedOn w:val="DefaultParagraphFont"/>
    <w:rsid w:val="0024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774">
      <w:bodyDiv w:val="1"/>
      <w:marLeft w:val="0"/>
      <w:marRight w:val="0"/>
      <w:marTop w:val="0"/>
      <w:marBottom w:val="0"/>
      <w:divBdr>
        <w:top w:val="none" w:sz="0" w:space="0" w:color="auto"/>
        <w:left w:val="none" w:sz="0" w:space="0" w:color="auto"/>
        <w:bottom w:val="none" w:sz="0" w:space="0" w:color="auto"/>
        <w:right w:val="none" w:sz="0" w:space="0" w:color="auto"/>
      </w:divBdr>
    </w:div>
    <w:div w:id="464928924">
      <w:bodyDiv w:val="1"/>
      <w:marLeft w:val="0"/>
      <w:marRight w:val="0"/>
      <w:marTop w:val="0"/>
      <w:marBottom w:val="0"/>
      <w:divBdr>
        <w:top w:val="none" w:sz="0" w:space="0" w:color="auto"/>
        <w:left w:val="none" w:sz="0" w:space="0" w:color="auto"/>
        <w:bottom w:val="none" w:sz="0" w:space="0" w:color="auto"/>
        <w:right w:val="none" w:sz="0" w:space="0" w:color="auto"/>
      </w:divBdr>
    </w:div>
    <w:div w:id="593248659">
      <w:bodyDiv w:val="1"/>
      <w:marLeft w:val="0"/>
      <w:marRight w:val="0"/>
      <w:marTop w:val="0"/>
      <w:marBottom w:val="0"/>
      <w:divBdr>
        <w:top w:val="none" w:sz="0" w:space="0" w:color="auto"/>
        <w:left w:val="none" w:sz="0" w:space="0" w:color="auto"/>
        <w:bottom w:val="none" w:sz="0" w:space="0" w:color="auto"/>
        <w:right w:val="none" w:sz="0" w:space="0" w:color="auto"/>
      </w:divBdr>
    </w:div>
    <w:div w:id="857162827">
      <w:bodyDiv w:val="1"/>
      <w:marLeft w:val="0"/>
      <w:marRight w:val="0"/>
      <w:marTop w:val="0"/>
      <w:marBottom w:val="0"/>
      <w:divBdr>
        <w:top w:val="none" w:sz="0" w:space="0" w:color="auto"/>
        <w:left w:val="none" w:sz="0" w:space="0" w:color="auto"/>
        <w:bottom w:val="none" w:sz="0" w:space="0" w:color="auto"/>
        <w:right w:val="none" w:sz="0" w:space="0" w:color="auto"/>
      </w:divBdr>
    </w:div>
    <w:div w:id="929125327">
      <w:bodyDiv w:val="1"/>
      <w:marLeft w:val="0"/>
      <w:marRight w:val="0"/>
      <w:marTop w:val="0"/>
      <w:marBottom w:val="0"/>
      <w:divBdr>
        <w:top w:val="none" w:sz="0" w:space="0" w:color="auto"/>
        <w:left w:val="none" w:sz="0" w:space="0" w:color="auto"/>
        <w:bottom w:val="none" w:sz="0" w:space="0" w:color="auto"/>
        <w:right w:val="none" w:sz="0" w:space="0" w:color="auto"/>
      </w:divBdr>
    </w:div>
    <w:div w:id="949971969">
      <w:bodyDiv w:val="1"/>
      <w:marLeft w:val="0"/>
      <w:marRight w:val="0"/>
      <w:marTop w:val="0"/>
      <w:marBottom w:val="0"/>
      <w:divBdr>
        <w:top w:val="none" w:sz="0" w:space="0" w:color="auto"/>
        <w:left w:val="none" w:sz="0" w:space="0" w:color="auto"/>
        <w:bottom w:val="none" w:sz="0" w:space="0" w:color="auto"/>
        <w:right w:val="none" w:sz="0" w:space="0" w:color="auto"/>
      </w:divBdr>
    </w:div>
    <w:div w:id="972557872">
      <w:bodyDiv w:val="1"/>
      <w:marLeft w:val="0"/>
      <w:marRight w:val="0"/>
      <w:marTop w:val="0"/>
      <w:marBottom w:val="0"/>
      <w:divBdr>
        <w:top w:val="none" w:sz="0" w:space="0" w:color="auto"/>
        <w:left w:val="none" w:sz="0" w:space="0" w:color="auto"/>
        <w:bottom w:val="none" w:sz="0" w:space="0" w:color="auto"/>
        <w:right w:val="none" w:sz="0" w:space="0" w:color="auto"/>
      </w:divBdr>
    </w:div>
    <w:div w:id="1045956807">
      <w:bodyDiv w:val="1"/>
      <w:marLeft w:val="0"/>
      <w:marRight w:val="0"/>
      <w:marTop w:val="0"/>
      <w:marBottom w:val="0"/>
      <w:divBdr>
        <w:top w:val="none" w:sz="0" w:space="0" w:color="auto"/>
        <w:left w:val="none" w:sz="0" w:space="0" w:color="auto"/>
        <w:bottom w:val="none" w:sz="0" w:space="0" w:color="auto"/>
        <w:right w:val="none" w:sz="0" w:space="0" w:color="auto"/>
      </w:divBdr>
    </w:div>
    <w:div w:id="1449087979">
      <w:bodyDiv w:val="1"/>
      <w:marLeft w:val="0"/>
      <w:marRight w:val="0"/>
      <w:marTop w:val="0"/>
      <w:marBottom w:val="0"/>
      <w:divBdr>
        <w:top w:val="none" w:sz="0" w:space="0" w:color="auto"/>
        <w:left w:val="none" w:sz="0" w:space="0" w:color="auto"/>
        <w:bottom w:val="none" w:sz="0" w:space="0" w:color="auto"/>
        <w:right w:val="none" w:sz="0" w:space="0" w:color="auto"/>
      </w:divBdr>
    </w:div>
    <w:div w:id="1667783069">
      <w:bodyDiv w:val="1"/>
      <w:marLeft w:val="0"/>
      <w:marRight w:val="0"/>
      <w:marTop w:val="0"/>
      <w:marBottom w:val="0"/>
      <w:divBdr>
        <w:top w:val="none" w:sz="0" w:space="0" w:color="auto"/>
        <w:left w:val="none" w:sz="0" w:space="0" w:color="auto"/>
        <w:bottom w:val="none" w:sz="0" w:space="0" w:color="auto"/>
        <w:right w:val="none" w:sz="0" w:space="0" w:color="auto"/>
      </w:divBdr>
    </w:div>
    <w:div w:id="18887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E100C-B22B-4C54-8A9F-9CCB571B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3869</Words>
  <Characters>22058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Loraine G.</dc:creator>
  <cp:lastModifiedBy>Priyanka Pawar</cp:lastModifiedBy>
  <cp:revision>2</cp:revision>
  <cp:lastPrinted>2014-05-21T20:55:00Z</cp:lastPrinted>
  <dcterms:created xsi:type="dcterms:W3CDTF">2014-06-24T06:39:00Z</dcterms:created>
  <dcterms:modified xsi:type="dcterms:W3CDTF">2014-06-24T06:39:00Z</dcterms:modified>
</cp:coreProperties>
</file>