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4C" w:rsidRDefault="00E60974" w:rsidP="00CF529B">
      <w:pPr>
        <w:pStyle w:val="ChapterHeading"/>
      </w:pPr>
      <w:bookmarkStart w:id="0" w:name="_Toc340241291"/>
      <w:bookmarkStart w:id="1" w:name="_GoBack"/>
      <w:bookmarkEnd w:id="1"/>
      <w:r>
        <w:t>Appendix G</w:t>
      </w:r>
      <w:r w:rsidRPr="005F471D">
        <w:t xml:space="preserve">. </w:t>
      </w:r>
      <w:r>
        <w:t>Detailed Assessment of the Strength of Evidence</w:t>
      </w:r>
    </w:p>
    <w:p w:rsidR="00E60974" w:rsidRDefault="00E60974" w:rsidP="00C75B3D">
      <w:pPr>
        <w:pStyle w:val="TableTitle"/>
      </w:pPr>
      <w:r>
        <w:t xml:space="preserve">Appendix </w:t>
      </w:r>
      <w:r w:rsidRPr="007807E5">
        <w:t xml:space="preserve">Table </w:t>
      </w:r>
      <w:proofErr w:type="spellStart"/>
      <w:r>
        <w:t>G1</w:t>
      </w:r>
      <w:proofErr w:type="spellEnd"/>
      <w:r>
        <w:t>.</w:t>
      </w:r>
      <w:r w:rsidRPr="007807E5">
        <w:t xml:space="preserve"> </w:t>
      </w:r>
      <w:r>
        <w:t>Assessment</w:t>
      </w:r>
      <w:r w:rsidR="00C75B3D">
        <w:t xml:space="preserve"> </w:t>
      </w:r>
      <w:r>
        <w:t>of strength of evidence</w:t>
      </w:r>
      <w:bookmarkEnd w:id="0"/>
      <w:r>
        <w:t xml:space="preserve"> domains</w:t>
      </w:r>
    </w:p>
    <w:tbl>
      <w:tblPr>
        <w:tblW w:w="14878" w:type="dxa"/>
        <w:jc w:val="center"/>
        <w:tblCellMar>
          <w:left w:w="29" w:type="dxa"/>
          <w:right w:w="29" w:type="dxa"/>
        </w:tblCellMar>
        <w:tblLook w:val="04A0" w:firstRow="1" w:lastRow="0" w:firstColumn="1" w:lastColumn="0" w:noHBand="0" w:noVBand="1"/>
      </w:tblPr>
      <w:tblGrid>
        <w:gridCol w:w="1458"/>
        <w:gridCol w:w="1176"/>
        <w:gridCol w:w="1433"/>
        <w:gridCol w:w="1260"/>
        <w:gridCol w:w="1059"/>
        <w:gridCol w:w="979"/>
        <w:gridCol w:w="1467"/>
        <w:gridCol w:w="929"/>
        <w:gridCol w:w="1254"/>
        <w:gridCol w:w="2815"/>
        <w:gridCol w:w="1048"/>
      </w:tblGrid>
      <w:tr w:rsidR="00E60974" w:rsidRPr="00CB43E9" w:rsidTr="00CB43E9">
        <w:trPr>
          <w:tblHeader/>
          <w:jc w:val="center"/>
        </w:trPr>
        <w:tc>
          <w:tcPr>
            <w:tcW w:w="1486" w:type="dxa"/>
            <w:tcBorders>
              <w:top w:val="single" w:sz="4" w:space="0" w:color="auto"/>
              <w:left w:val="nil"/>
              <w:bottom w:val="single" w:sz="4" w:space="0" w:color="auto"/>
              <w:right w:val="nil"/>
            </w:tcBorders>
          </w:tcPr>
          <w:p w:rsidR="00E60974" w:rsidRPr="00CB43E9" w:rsidRDefault="00E60974" w:rsidP="005E1103">
            <w:pPr>
              <w:rPr>
                <w:rFonts w:ascii="Arial" w:hAnsi="Arial" w:cs="Arial"/>
                <w:b/>
                <w:bCs/>
                <w:iCs/>
                <w:sz w:val="18"/>
                <w:szCs w:val="18"/>
              </w:rPr>
            </w:pPr>
            <w:r w:rsidRPr="00CB43E9">
              <w:rPr>
                <w:rFonts w:ascii="Arial" w:hAnsi="Arial" w:cs="Arial"/>
                <w:b/>
                <w:bCs/>
                <w:iCs/>
                <w:sz w:val="18"/>
                <w:szCs w:val="18"/>
              </w:rPr>
              <w:t>Key Question</w:t>
            </w:r>
          </w:p>
        </w:tc>
        <w:tc>
          <w:tcPr>
            <w:tcW w:w="1188"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Population</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Test/Assay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Outcome</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Risk of bias</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Directness</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Consistency</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Precision</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r w:rsidRPr="00CB43E9">
              <w:rPr>
                <w:rFonts w:ascii="Arial" w:hAnsi="Arial" w:cs="Arial"/>
                <w:b/>
                <w:sz w:val="18"/>
                <w:szCs w:val="18"/>
              </w:rPr>
              <w:t>Reporting bias</w:t>
            </w:r>
          </w:p>
        </w:tc>
        <w:tc>
          <w:tcPr>
            <w:tcW w:w="2922" w:type="dxa"/>
            <w:tcBorders>
              <w:top w:val="single" w:sz="4" w:space="0" w:color="auto"/>
              <w:left w:val="nil"/>
              <w:bottom w:val="single" w:sz="4" w:space="0" w:color="auto"/>
              <w:right w:val="nil"/>
            </w:tcBorders>
          </w:tcPr>
          <w:p w:rsidR="00E60974" w:rsidRPr="00CB43E9" w:rsidRDefault="00E60974" w:rsidP="00CB43E9">
            <w:pPr>
              <w:rPr>
                <w:rFonts w:ascii="Arial" w:hAnsi="Arial" w:cs="Arial"/>
                <w:b/>
                <w:sz w:val="18"/>
                <w:szCs w:val="18"/>
              </w:rPr>
            </w:pPr>
            <w:r w:rsidRPr="00CB43E9">
              <w:rPr>
                <w:rFonts w:ascii="Arial" w:hAnsi="Arial" w:cs="Arial"/>
                <w:b/>
                <w:sz w:val="18"/>
                <w:szCs w:val="18"/>
              </w:rPr>
              <w:t>Other Issues/Notes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b/>
                <w:sz w:val="18"/>
                <w:szCs w:val="18"/>
              </w:rPr>
            </w:pPr>
            <w:proofErr w:type="spellStart"/>
            <w:r w:rsidRPr="00CB43E9">
              <w:rPr>
                <w:rFonts w:ascii="Arial" w:hAnsi="Arial" w:cs="Arial"/>
                <w:b/>
                <w:sz w:val="18"/>
                <w:szCs w:val="18"/>
              </w:rPr>
              <w:t>SOE</w:t>
            </w:r>
            <w:proofErr w:type="spellEnd"/>
            <w:r w:rsidRPr="00CB43E9">
              <w:rPr>
                <w:rFonts w:ascii="Arial" w:hAnsi="Arial" w:cs="Arial"/>
                <w:b/>
                <w:sz w:val="18"/>
                <w:szCs w:val="18"/>
              </w:rPr>
              <w:t xml:space="preserve"> and additional information</w:t>
            </w:r>
          </w:p>
        </w:tc>
      </w:tr>
      <w:tr w:rsidR="00E60974" w:rsidRPr="00CB43E9" w:rsidTr="00CB43E9">
        <w:trPr>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t>1a</w:t>
            </w:r>
            <w:proofErr w:type="spellEnd"/>
            <w:r w:rsidRPr="00CB43E9">
              <w:rPr>
                <w:rFonts w:ascii="Arial" w:hAnsi="Arial" w:cs="Arial"/>
                <w:b/>
                <w:bCs/>
                <w:iCs/>
                <w:sz w:val="18"/>
                <w:szCs w:val="18"/>
              </w:rPr>
              <w:t xml:space="preserve">: What it the analytic validity of tests for genotyping </w:t>
            </w:r>
            <w:proofErr w:type="spellStart"/>
            <w:r w:rsidRPr="00CB43E9">
              <w:rPr>
                <w:rFonts w:ascii="Arial" w:hAnsi="Arial" w:cs="Arial"/>
                <w:b/>
                <w:bCs/>
                <w:iCs/>
                <w:sz w:val="18"/>
                <w:szCs w:val="18"/>
              </w:rPr>
              <w:t>CYP2C19</w:t>
            </w:r>
            <w:proofErr w:type="spellEnd"/>
            <w:r w:rsidRPr="00CB43E9">
              <w:rPr>
                <w:rFonts w:ascii="Arial" w:hAnsi="Arial" w:cs="Arial"/>
                <w:b/>
                <w:bCs/>
                <w:iCs/>
                <w:sz w:val="18"/>
                <w:szCs w:val="18"/>
              </w:rPr>
              <w:t xml:space="preserve"> variants?</w:t>
            </w: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Genotyping for any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Few studies provided information on analytic validity specifically using samples obtained from patient populations relevant to this review. When available, data were limited to test–retest reliability or inter-assay agreement.</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proofErr w:type="spellStart"/>
            <w:r w:rsidRPr="00CB43E9">
              <w:rPr>
                <w:rFonts w:ascii="Arial" w:hAnsi="Arial" w:cs="Arial"/>
                <w:sz w:val="18"/>
                <w:szCs w:val="18"/>
              </w:rPr>
              <w:t>SOE</w:t>
            </w:r>
            <w:proofErr w:type="spellEnd"/>
            <w:r w:rsidRPr="00CB43E9">
              <w:rPr>
                <w:rFonts w:ascii="Arial" w:hAnsi="Arial" w:cs="Arial"/>
                <w:sz w:val="18"/>
                <w:szCs w:val="18"/>
              </w:rPr>
              <w:t xml:space="preserve"> was not evaluated. </w:t>
            </w:r>
          </w:p>
        </w:tc>
      </w:tr>
      <w:tr w:rsidR="00E60974" w:rsidRPr="00CB43E9" w:rsidTr="00CB43E9">
        <w:trPr>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t>1b</w:t>
            </w:r>
            <w:proofErr w:type="spellEnd"/>
            <w:r w:rsidRPr="00CB43E9">
              <w:rPr>
                <w:rFonts w:ascii="Arial" w:hAnsi="Arial" w:cs="Arial"/>
                <w:b/>
                <w:bCs/>
                <w:iCs/>
                <w:sz w:val="18"/>
                <w:szCs w:val="18"/>
              </w:rPr>
              <w:t xml:space="preserve">: What is the predictive value of genetic testing for </w:t>
            </w:r>
            <w:proofErr w:type="spellStart"/>
            <w:r w:rsidRPr="00CB43E9">
              <w:rPr>
                <w:rFonts w:ascii="Arial" w:hAnsi="Arial" w:cs="Arial"/>
                <w:b/>
                <w:bCs/>
                <w:iCs/>
                <w:sz w:val="18"/>
                <w:szCs w:val="18"/>
              </w:rPr>
              <w:t>CYP2C19</w:t>
            </w:r>
            <w:proofErr w:type="spellEnd"/>
            <w:r w:rsidRPr="00CB43E9">
              <w:rPr>
                <w:rFonts w:ascii="Arial" w:hAnsi="Arial" w:cs="Arial"/>
                <w:b/>
                <w:bCs/>
                <w:iCs/>
                <w:sz w:val="18"/>
                <w:szCs w:val="18"/>
              </w:rPr>
              <w:t xml:space="preserve"> variants?</w:t>
            </w: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Ischemic heart disease</w:t>
            </w: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Genotyping for </w:t>
            </w:r>
            <w:proofErr w:type="spellStart"/>
            <w:r w:rsidRPr="00CB43E9">
              <w:rPr>
                <w:rFonts w:ascii="Arial" w:hAnsi="Arial" w:cs="Arial"/>
                <w:sz w:val="18"/>
                <w:szCs w:val="18"/>
              </w:rPr>
              <w:t>LOF</w:t>
            </w:r>
            <w:proofErr w:type="spellEnd"/>
            <w:r w:rsidRPr="00CB43E9">
              <w:rPr>
                <w:rFonts w:ascii="Arial" w:hAnsi="Arial" w:cs="Arial"/>
                <w:sz w:val="18"/>
                <w:szCs w:val="18"/>
              </w:rPr>
              <w:t xml:space="preserve">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Stent thrombosis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imprecise; but the lower bound of the confidence interval of the summary effect indicated a 17% increase in risk</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(publication bias and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Moderate</w:t>
            </w:r>
          </w:p>
        </w:tc>
      </w:tr>
      <w:tr w:rsidR="00E60974" w:rsidRPr="00CB43E9" w:rsidTr="00CB43E9">
        <w:trPr>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MACE</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(publication bias)</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Moderate</w:t>
            </w:r>
          </w:p>
        </w:tc>
      </w:tr>
      <w:tr w:rsidR="00E60974" w:rsidRPr="00CB43E9" w:rsidTr="00286C39">
        <w:trPr>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Cardiovascular mortality</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other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 or not enough data to assess (single study)</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 in some cases publication bias)</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Genotyping for </w:t>
            </w:r>
            <w:proofErr w:type="spellStart"/>
            <w:r w:rsidRPr="00CB43E9">
              <w:rPr>
                <w:rFonts w:ascii="Arial" w:hAnsi="Arial" w:cs="Arial"/>
                <w:sz w:val="18"/>
                <w:szCs w:val="18"/>
              </w:rPr>
              <w:t>GOF</w:t>
            </w:r>
            <w:proofErr w:type="spellEnd"/>
            <w:r w:rsidRPr="00CB43E9">
              <w:rPr>
                <w:rFonts w:ascii="Arial" w:hAnsi="Arial" w:cs="Arial"/>
                <w:sz w:val="18"/>
                <w:szCs w:val="18"/>
              </w:rPr>
              <w:t xml:space="preserve">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 MACE</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 Low</w:t>
            </w:r>
          </w:p>
        </w:tc>
      </w:tr>
      <w:tr w:rsidR="00E60974" w:rsidRPr="00CB43E9" w:rsidTr="00CB43E9">
        <w:trPr>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other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inconsistent for bleeding events; consistent for all other outcomes</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Other patient groups who are candidates for </w:t>
            </w:r>
            <w:proofErr w:type="spellStart"/>
            <w:r w:rsidRPr="00CB43E9">
              <w:rPr>
                <w:rFonts w:ascii="Arial" w:hAnsi="Arial" w:cs="Arial"/>
                <w:sz w:val="18"/>
                <w:szCs w:val="18"/>
              </w:rPr>
              <w:t>clopidogrel</w:t>
            </w:r>
            <w:proofErr w:type="spellEnd"/>
            <w:r w:rsidRPr="00CB43E9">
              <w:rPr>
                <w:rFonts w:ascii="Arial" w:hAnsi="Arial" w:cs="Arial"/>
                <w:sz w:val="18"/>
                <w:szCs w:val="18"/>
              </w:rPr>
              <w:t xml:space="preserve"> therapy</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Genotyping for any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because studies were conducted in diverse populations and reported information on different outcomes</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bl>
    <w:p w:rsidR="009A534C" w:rsidRDefault="00737422">
      <w:pPr>
        <w:spacing w:after="200" w:line="276" w:lineRule="auto"/>
      </w:pPr>
      <w:r>
        <w:br w:type="page"/>
      </w:r>
    </w:p>
    <w:tbl>
      <w:tblPr>
        <w:tblW w:w="14878" w:type="dxa"/>
        <w:jc w:val="center"/>
        <w:tblCellMar>
          <w:left w:w="29" w:type="dxa"/>
          <w:right w:w="29" w:type="dxa"/>
        </w:tblCellMar>
        <w:tblLook w:val="04A0" w:firstRow="1" w:lastRow="0" w:firstColumn="1" w:lastColumn="0" w:noHBand="0" w:noVBand="1"/>
      </w:tblPr>
      <w:tblGrid>
        <w:gridCol w:w="1441"/>
        <w:gridCol w:w="1157"/>
        <w:gridCol w:w="1390"/>
        <w:gridCol w:w="1260"/>
        <w:gridCol w:w="1059"/>
        <w:gridCol w:w="979"/>
        <w:gridCol w:w="1700"/>
        <w:gridCol w:w="929"/>
        <w:gridCol w:w="1227"/>
        <w:gridCol w:w="2688"/>
        <w:gridCol w:w="1048"/>
      </w:tblGrid>
      <w:tr w:rsidR="00CB43E9" w:rsidRPr="00CB43E9" w:rsidTr="00CB43E9">
        <w:trPr>
          <w:cantSplit/>
          <w:tblHeader/>
          <w:jc w:val="center"/>
        </w:trPr>
        <w:tc>
          <w:tcPr>
            <w:tcW w:w="1486" w:type="dxa"/>
            <w:tcBorders>
              <w:top w:val="single" w:sz="4" w:space="0" w:color="auto"/>
              <w:left w:val="nil"/>
              <w:bottom w:val="single" w:sz="4" w:space="0" w:color="auto"/>
              <w:right w:val="nil"/>
            </w:tcBorders>
          </w:tcPr>
          <w:p w:rsidR="00CB43E9" w:rsidRPr="00CB43E9" w:rsidRDefault="00CB43E9" w:rsidP="00CB43E9">
            <w:pPr>
              <w:rPr>
                <w:rFonts w:ascii="Arial" w:hAnsi="Arial" w:cs="Arial"/>
                <w:b/>
                <w:bCs/>
                <w:iCs/>
                <w:sz w:val="18"/>
                <w:szCs w:val="18"/>
              </w:rPr>
            </w:pPr>
            <w:r w:rsidRPr="00CB43E9">
              <w:rPr>
                <w:rFonts w:ascii="Arial" w:hAnsi="Arial" w:cs="Arial"/>
                <w:b/>
                <w:bCs/>
                <w:iCs/>
                <w:sz w:val="18"/>
                <w:szCs w:val="18"/>
              </w:rPr>
              <w:lastRenderedPageBreak/>
              <w:t>Key Question</w:t>
            </w:r>
          </w:p>
        </w:tc>
        <w:tc>
          <w:tcPr>
            <w:tcW w:w="1188"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Population</w:t>
            </w:r>
          </w:p>
        </w:tc>
        <w:tc>
          <w:tcPr>
            <w:tcW w:w="1460"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Test/Assay</w:t>
            </w:r>
          </w:p>
        </w:tc>
        <w:tc>
          <w:tcPr>
            <w:tcW w:w="1260"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Outcome</w:t>
            </w:r>
          </w:p>
        </w:tc>
        <w:tc>
          <w:tcPr>
            <w:tcW w:w="987"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Risk of bias</w:t>
            </w:r>
          </w:p>
        </w:tc>
        <w:tc>
          <w:tcPr>
            <w:tcW w:w="972"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Directness</w:t>
            </w:r>
          </w:p>
        </w:tc>
        <w:tc>
          <w:tcPr>
            <w:tcW w:w="1489"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Consistency</w:t>
            </w:r>
          </w:p>
        </w:tc>
        <w:tc>
          <w:tcPr>
            <w:tcW w:w="852"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Precision</w:t>
            </w:r>
          </w:p>
        </w:tc>
        <w:tc>
          <w:tcPr>
            <w:tcW w:w="1272"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Reporting bias</w:t>
            </w:r>
          </w:p>
        </w:tc>
        <w:tc>
          <w:tcPr>
            <w:tcW w:w="2922"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r w:rsidRPr="00CB43E9">
              <w:rPr>
                <w:rFonts w:ascii="Arial" w:hAnsi="Arial" w:cs="Arial"/>
                <w:b/>
                <w:sz w:val="18"/>
                <w:szCs w:val="18"/>
              </w:rPr>
              <w:t>Ot</w:t>
            </w:r>
            <w:r w:rsidR="00286C39">
              <w:rPr>
                <w:rFonts w:ascii="Arial" w:hAnsi="Arial" w:cs="Arial"/>
                <w:b/>
                <w:sz w:val="18"/>
                <w:szCs w:val="18"/>
              </w:rPr>
              <w:t>her Issues/</w:t>
            </w:r>
            <w:r w:rsidRPr="00CB43E9">
              <w:rPr>
                <w:rFonts w:ascii="Arial" w:hAnsi="Arial" w:cs="Arial"/>
                <w:b/>
                <w:sz w:val="18"/>
                <w:szCs w:val="18"/>
              </w:rPr>
              <w:t>Notes</w:t>
            </w:r>
          </w:p>
        </w:tc>
        <w:tc>
          <w:tcPr>
            <w:tcW w:w="990" w:type="dxa"/>
            <w:tcBorders>
              <w:top w:val="single" w:sz="4" w:space="0" w:color="auto"/>
              <w:left w:val="nil"/>
              <w:bottom w:val="single" w:sz="4" w:space="0" w:color="auto"/>
              <w:right w:val="nil"/>
            </w:tcBorders>
          </w:tcPr>
          <w:p w:rsidR="00CB43E9" w:rsidRPr="00CB43E9" w:rsidRDefault="00CB43E9" w:rsidP="00CB43E9">
            <w:pPr>
              <w:rPr>
                <w:rFonts w:ascii="Arial" w:hAnsi="Arial" w:cs="Arial"/>
                <w:b/>
                <w:sz w:val="18"/>
                <w:szCs w:val="18"/>
              </w:rPr>
            </w:pPr>
            <w:proofErr w:type="spellStart"/>
            <w:r w:rsidRPr="00CB43E9">
              <w:rPr>
                <w:rFonts w:ascii="Arial" w:hAnsi="Arial" w:cs="Arial"/>
                <w:b/>
                <w:sz w:val="18"/>
                <w:szCs w:val="18"/>
              </w:rPr>
              <w:t>SOE</w:t>
            </w:r>
            <w:proofErr w:type="spellEnd"/>
            <w:r w:rsidRPr="00CB43E9">
              <w:rPr>
                <w:rFonts w:ascii="Arial" w:hAnsi="Arial" w:cs="Arial"/>
                <w:b/>
                <w:sz w:val="18"/>
                <w:szCs w:val="18"/>
              </w:rPr>
              <w:t xml:space="preserve"> and additional information</w:t>
            </w:r>
          </w:p>
        </w:tc>
      </w:tr>
      <w:tr w:rsidR="00E60974" w:rsidRPr="00CB43E9" w:rsidTr="00CB43E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t>1c</w:t>
            </w:r>
            <w:proofErr w:type="spellEnd"/>
            <w:r w:rsidRPr="00CB43E9">
              <w:rPr>
                <w:rFonts w:ascii="Arial" w:hAnsi="Arial" w:cs="Arial"/>
                <w:b/>
                <w:bCs/>
                <w:iCs/>
                <w:sz w:val="18"/>
                <w:szCs w:val="18"/>
              </w:rPr>
              <w:t xml:space="preserve">: What factors affect the predictive value of genetic testing for </w:t>
            </w:r>
            <w:proofErr w:type="spellStart"/>
            <w:r w:rsidRPr="00CB43E9">
              <w:rPr>
                <w:rFonts w:ascii="Arial" w:hAnsi="Arial" w:cs="Arial"/>
                <w:b/>
                <w:bCs/>
                <w:iCs/>
                <w:sz w:val="18"/>
                <w:szCs w:val="18"/>
              </w:rPr>
              <w:t>CYP2C19</w:t>
            </w:r>
            <w:proofErr w:type="spellEnd"/>
            <w:r w:rsidRPr="00CB43E9">
              <w:rPr>
                <w:rFonts w:ascii="Arial" w:hAnsi="Arial" w:cs="Arial"/>
                <w:b/>
                <w:bCs/>
                <w:iCs/>
                <w:sz w:val="18"/>
                <w:szCs w:val="18"/>
              </w:rPr>
              <w:t xml:space="preserve"> variants?</w:t>
            </w: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patient populations</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Genotyping for any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In meta-regression analyses we found some evidence of effect modification by ethnicity (East Asians vs. White) for MACE and stent thrombosis. However, this result was based on comparisons across studies, which may be confounded by other study characteristics, and was not corroborated by within-study analyses.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t>2a</w:t>
            </w:r>
            <w:proofErr w:type="spellEnd"/>
            <w:r w:rsidRPr="00CB43E9">
              <w:rPr>
                <w:rFonts w:ascii="Arial" w:hAnsi="Arial" w:cs="Arial"/>
                <w:b/>
                <w:bCs/>
                <w:iCs/>
                <w:sz w:val="18"/>
                <w:szCs w:val="18"/>
              </w:rPr>
              <w:t>: What is the analytic validity of tests for on-</w:t>
            </w:r>
            <w:proofErr w:type="spellStart"/>
            <w:r w:rsidRPr="00CB43E9">
              <w:rPr>
                <w:rFonts w:ascii="Arial" w:hAnsi="Arial" w:cs="Arial"/>
                <w:b/>
                <w:bCs/>
                <w:iCs/>
                <w:sz w:val="18"/>
                <w:szCs w:val="18"/>
              </w:rPr>
              <w:t>clopidogrel</w:t>
            </w:r>
            <w:proofErr w:type="spellEnd"/>
            <w:r w:rsidRPr="00CB43E9">
              <w:rPr>
                <w:rFonts w:ascii="Arial" w:hAnsi="Arial" w:cs="Arial"/>
                <w:b/>
                <w:bCs/>
                <w:iCs/>
                <w:sz w:val="18"/>
                <w:szCs w:val="18"/>
              </w:rPr>
              <w:t xml:space="preserve"> platelet reactivity?</w:t>
            </w: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assays used to measure on-</w:t>
            </w:r>
            <w:proofErr w:type="spellStart"/>
            <w:r w:rsidRPr="00CB43E9">
              <w:rPr>
                <w:rFonts w:ascii="Arial" w:hAnsi="Arial" w:cs="Arial"/>
                <w:sz w:val="18"/>
                <w:szCs w:val="18"/>
              </w:rPr>
              <w:t>clopidogrel</w:t>
            </w:r>
            <w:proofErr w:type="spellEnd"/>
            <w:r w:rsidRPr="00CB43E9">
              <w:rPr>
                <w:rFonts w:ascii="Arial" w:hAnsi="Arial" w:cs="Arial"/>
                <w:sz w:val="18"/>
                <w:szCs w:val="18"/>
              </w:rPr>
              <w:t xml:space="preserve"> platelet reactivity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Few studies reported information on analytic sensitivity and specificity, possibly reflecting the research community’s belief that there is no good reference standard assay for platelet reactivity. Agreement ranged from poor to moderate and was variable between tests. The highest agreement was observed between applications of the same assay with different concentrations of agonists, rather than between different assays.</w:t>
            </w:r>
          </w:p>
        </w:tc>
        <w:tc>
          <w:tcPr>
            <w:tcW w:w="990"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proofErr w:type="spellStart"/>
            <w:r w:rsidRPr="00CB43E9">
              <w:rPr>
                <w:rFonts w:ascii="Arial" w:hAnsi="Arial" w:cs="Arial"/>
                <w:sz w:val="18"/>
                <w:szCs w:val="18"/>
              </w:rPr>
              <w:t>SOE</w:t>
            </w:r>
            <w:proofErr w:type="spellEnd"/>
            <w:r w:rsidRPr="00CB43E9">
              <w:rPr>
                <w:rFonts w:ascii="Arial" w:hAnsi="Arial" w:cs="Arial"/>
                <w:sz w:val="18"/>
                <w:szCs w:val="18"/>
              </w:rPr>
              <w:t xml:space="preserve"> was not evaluated. </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lastRenderedPageBreak/>
              <w:t>2b</w:t>
            </w:r>
            <w:proofErr w:type="spellEnd"/>
            <w:r w:rsidRPr="00CB43E9">
              <w:rPr>
                <w:rFonts w:ascii="Arial" w:hAnsi="Arial" w:cs="Arial"/>
                <w:b/>
                <w:bCs/>
                <w:iCs/>
                <w:sz w:val="18"/>
                <w:szCs w:val="18"/>
              </w:rPr>
              <w:t>: What is the predictive ability of phenotypic testing for platelet reactivity?</w:t>
            </w: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Ischemic heart disease</w:t>
            </w: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roofErr w:type="spellStart"/>
            <w:r w:rsidRPr="00CB43E9">
              <w:rPr>
                <w:rFonts w:ascii="Arial" w:hAnsi="Arial" w:cs="Arial"/>
                <w:sz w:val="18"/>
                <w:szCs w:val="18"/>
              </w:rPr>
              <w:t>LTA</w:t>
            </w:r>
            <w:proofErr w:type="spellEnd"/>
          </w:p>
        </w:tc>
        <w:tc>
          <w:tcPr>
            <w:tcW w:w="12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All-cause mortality</w:t>
            </w:r>
          </w:p>
        </w:tc>
        <w:tc>
          <w:tcPr>
            <w:tcW w:w="987"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Cardiovascular mortality</w:t>
            </w:r>
          </w:p>
        </w:tc>
        <w:tc>
          <w:tcPr>
            <w:tcW w:w="987"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Acute coronary syndromes</w:t>
            </w:r>
          </w:p>
        </w:tc>
        <w:tc>
          <w:tcPr>
            <w:tcW w:w="987"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Stent thrombosis</w:t>
            </w:r>
          </w:p>
        </w:tc>
        <w:tc>
          <w:tcPr>
            <w:tcW w:w="987"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Stroke</w:t>
            </w:r>
          </w:p>
        </w:tc>
        <w:tc>
          <w:tcPr>
            <w:tcW w:w="987"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Low </w:t>
            </w:r>
          </w:p>
          <w:p w:rsidR="00E60974" w:rsidRPr="00CB43E9" w:rsidRDefault="00E60974" w:rsidP="005E1103">
            <w:pPr>
              <w:rPr>
                <w:rFonts w:ascii="Arial" w:hAnsi="Arial" w:cs="Arial"/>
                <w:sz w:val="18"/>
                <w:szCs w:val="18"/>
              </w:rPr>
            </w:pPr>
            <w:r w:rsidRPr="00CB43E9">
              <w:rPr>
                <w:rFonts w:ascii="Arial" w:hAnsi="Arial" w:cs="Arial"/>
                <w:sz w:val="18"/>
                <w:szCs w:val="18"/>
              </w:rPr>
              <w:t>(for lack of association)</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MACE</w:t>
            </w:r>
          </w:p>
        </w:tc>
        <w:tc>
          <w:tcPr>
            <w:tcW w:w="987"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Del="00112EBB" w:rsidRDefault="00E60974" w:rsidP="005E1103">
            <w:pPr>
              <w:rPr>
                <w:rFonts w:ascii="Arial" w:hAnsi="Arial" w:cs="Arial"/>
                <w:sz w:val="18"/>
                <w:szCs w:val="18"/>
              </w:rPr>
            </w:pPr>
            <w:r w:rsidRPr="00CB43E9">
              <w:rPr>
                <w:rFonts w:ascii="Arial" w:hAnsi="Arial" w:cs="Arial"/>
                <w:sz w:val="18"/>
                <w:szCs w:val="18"/>
              </w:rPr>
              <w:t>All other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It was not possible to evaluate consistency with respect to the effect size of the association because studies used different metrics and cut-offs for platelet reactivity. Qualitatively, studies were consistent in demonstrating an association between platelet reactivity and the outcomes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Study-level findings were generally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Clinical and population heterogeneity or small number of studies limited our ability to draw conclusions. Studies used heterogeneous methods to define increased reactivity.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roofErr w:type="spellStart"/>
            <w:r w:rsidRPr="00CB43E9">
              <w:rPr>
                <w:rFonts w:ascii="Arial" w:hAnsi="Arial" w:cs="Arial"/>
                <w:sz w:val="18"/>
                <w:szCs w:val="18"/>
              </w:rPr>
              <w:t>VerifyNow</w:t>
            </w:r>
            <w:proofErr w:type="spellEnd"/>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All-cause mortality</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Low </w:t>
            </w:r>
          </w:p>
          <w:p w:rsidR="00E60974" w:rsidRPr="00CB43E9" w:rsidRDefault="00E60974" w:rsidP="005E1103">
            <w:pPr>
              <w:rPr>
                <w:rFonts w:ascii="Arial" w:hAnsi="Arial" w:cs="Arial"/>
                <w:sz w:val="18"/>
                <w:szCs w:val="18"/>
              </w:rPr>
            </w:pPr>
            <w:r w:rsidRPr="00CB43E9">
              <w:rPr>
                <w:rFonts w:ascii="Arial" w:hAnsi="Arial" w:cs="Arial"/>
                <w:sz w:val="18"/>
                <w:szCs w:val="18"/>
              </w:rPr>
              <w:t>(for lack of association)</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Cardiovascular mortality</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Moderate</w:t>
            </w:r>
          </w:p>
        </w:tc>
      </w:tr>
      <w:tr w:rsidR="00E60974" w:rsidRPr="00CB43E9" w:rsidTr="00286C3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Acute coronary syndromes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Qualitatively 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Stent thrombosis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(publication bias and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Low </w:t>
            </w:r>
          </w:p>
          <w:p w:rsidR="00E60974" w:rsidRPr="00CB43E9" w:rsidRDefault="00E60974" w:rsidP="005E1103">
            <w:pPr>
              <w:rPr>
                <w:rFonts w:ascii="Arial" w:hAnsi="Arial" w:cs="Arial"/>
                <w:sz w:val="18"/>
                <w:szCs w:val="18"/>
              </w:rPr>
            </w:pPr>
            <w:r w:rsidRPr="00CB43E9">
              <w:rPr>
                <w:rFonts w:ascii="Arial" w:hAnsi="Arial" w:cs="Arial"/>
                <w:sz w:val="18"/>
                <w:szCs w:val="18"/>
              </w:rPr>
              <w:t>(for lack of association)</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MACE</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inconsistent with regards to the magnitude of the effect size, but consistent with regards to the direction of effects</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(publication bias and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Moderate</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Bleeding events (major and all levels of severity combined)</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Inconsistent for major events; consistent for all events</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 for major events; precise for all events</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Low </w:t>
            </w:r>
          </w:p>
          <w:p w:rsidR="00E60974" w:rsidRPr="00CB43E9" w:rsidRDefault="00E60974" w:rsidP="005E1103">
            <w:pPr>
              <w:rPr>
                <w:rFonts w:ascii="Arial" w:hAnsi="Arial" w:cs="Arial"/>
                <w:sz w:val="18"/>
                <w:szCs w:val="18"/>
              </w:rPr>
            </w:pPr>
            <w:r w:rsidRPr="00CB43E9">
              <w:rPr>
                <w:rFonts w:ascii="Arial" w:hAnsi="Arial" w:cs="Arial"/>
                <w:sz w:val="18"/>
                <w:szCs w:val="18"/>
              </w:rPr>
              <w:t>(for lack of association)</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Del="00112EBB" w:rsidRDefault="00E60974" w:rsidP="005E1103">
            <w:pPr>
              <w:rPr>
                <w:rFonts w:ascii="Arial" w:hAnsi="Arial" w:cs="Arial"/>
                <w:sz w:val="18"/>
                <w:szCs w:val="18"/>
              </w:rPr>
            </w:pPr>
            <w:r w:rsidRPr="00CB43E9">
              <w:rPr>
                <w:rFonts w:ascii="Arial" w:hAnsi="Arial" w:cs="Arial"/>
                <w:sz w:val="18"/>
                <w:szCs w:val="18"/>
              </w:rPr>
              <w:t>All other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Few studies were available for each outcome of interest; results were somewhat inconsistent (when 2 or more studies were available)</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Clinical heterogeneity and small number of studies limited our ability to draw conclusions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roofErr w:type="spellStart"/>
            <w:r w:rsidRPr="00CB43E9">
              <w:rPr>
                <w:rFonts w:ascii="Arial" w:hAnsi="Arial" w:cs="Arial"/>
                <w:sz w:val="18"/>
                <w:szCs w:val="18"/>
              </w:rPr>
              <w:t>VASP</w:t>
            </w:r>
            <w:proofErr w:type="spellEnd"/>
            <w:r w:rsidRPr="00CB43E9">
              <w:rPr>
                <w:rFonts w:ascii="Arial" w:hAnsi="Arial" w:cs="Arial"/>
                <w:sz w:val="18"/>
                <w:szCs w:val="18"/>
              </w:rPr>
              <w:t xml:space="preserve"> assay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Cardiovascular mortality</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inconsistent (estimates from individual studies indicated different directions of effect)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p w:rsidR="00E60974" w:rsidRPr="00CB43E9" w:rsidRDefault="00E60974" w:rsidP="005E1103">
            <w:pPr>
              <w:rPr>
                <w:rFonts w:ascii="Arial" w:hAnsi="Arial" w:cs="Arial"/>
                <w:sz w:val="18"/>
                <w:szCs w:val="18"/>
              </w:rPr>
            </w:pP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Acute coronary syndromes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Low </w:t>
            </w:r>
          </w:p>
          <w:p w:rsidR="00E60974" w:rsidRPr="00CB43E9" w:rsidRDefault="00E60974" w:rsidP="005E1103">
            <w:pPr>
              <w:rPr>
                <w:rFonts w:ascii="Arial" w:hAnsi="Arial" w:cs="Arial"/>
                <w:sz w:val="18"/>
                <w:szCs w:val="18"/>
              </w:rPr>
            </w:pPr>
            <w:r w:rsidRPr="00CB43E9">
              <w:rPr>
                <w:rFonts w:ascii="Arial" w:hAnsi="Arial" w:cs="Arial"/>
                <w:sz w:val="18"/>
                <w:szCs w:val="18"/>
              </w:rPr>
              <w:t>(for lack of association)</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Stent thrombosis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MACE</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Somewhat imprecise; but the lower bound of the confidence interval of the summary effect indicated a 21% increase  in risk</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other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Few studies were available for each outcome of interest; results were somewhat inconsistent (when ≥2 studies were available)</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Few studies reported information. Clinical heterogeneity or small number of studies limited our ability to draw conclusions.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right w:val="nil"/>
            </w:tcBorders>
          </w:tcPr>
          <w:p w:rsidR="00E60974" w:rsidRPr="00CB43E9" w:rsidRDefault="00E60974" w:rsidP="005E1103">
            <w:pPr>
              <w:rPr>
                <w:rFonts w:ascii="Arial" w:hAnsi="Arial" w:cs="Arial"/>
                <w:sz w:val="18"/>
                <w:szCs w:val="18"/>
              </w:rPr>
            </w:pPr>
            <w:proofErr w:type="spellStart"/>
            <w:r w:rsidRPr="00CB43E9">
              <w:rPr>
                <w:rFonts w:ascii="Arial" w:hAnsi="Arial" w:cs="Arial"/>
                <w:sz w:val="18"/>
                <w:szCs w:val="18"/>
              </w:rPr>
              <w:t>PFA</w:t>
            </w:r>
            <w:proofErr w:type="spellEnd"/>
            <w:r w:rsidRPr="00CB43E9">
              <w:rPr>
                <w:rFonts w:ascii="Arial" w:hAnsi="Arial" w:cs="Arial"/>
                <w:sz w:val="18"/>
                <w:szCs w:val="18"/>
              </w:rPr>
              <w:t>-100</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MACE </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Qualitatively 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Not suspected</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Heterogeneity in the methods used to define increased reactivity precluded definitive conclusions. Studies generally indicated an association between increase platelet reactivity and composite clinical outcomes.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other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Few studies were available for other outcomes; results were somewhat inconsistent when ≥2 studies were available for the same outcome</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Few of the available studies reported information on other outcomes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p>
        </w:tc>
        <w:tc>
          <w:tcPr>
            <w:tcW w:w="1188"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other assays</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Qualitatively inconsistent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Few studies were available for each assay; when ≥2 studies were available for the same outcome they used heterogeneous metrics or thresholds to define increased reactivity or used different agonists for ex vivo stimulation of platelets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Other patient groups who are candidates for </w:t>
            </w:r>
            <w:proofErr w:type="spellStart"/>
            <w:r w:rsidRPr="00CB43E9">
              <w:rPr>
                <w:rFonts w:ascii="Arial" w:hAnsi="Arial" w:cs="Arial"/>
                <w:sz w:val="18"/>
                <w:szCs w:val="18"/>
              </w:rPr>
              <w:t>clopidogrel</w:t>
            </w:r>
            <w:proofErr w:type="spellEnd"/>
            <w:r w:rsidRPr="00CB43E9">
              <w:rPr>
                <w:rFonts w:ascii="Arial" w:hAnsi="Arial" w:cs="Arial"/>
                <w:sz w:val="18"/>
                <w:szCs w:val="18"/>
              </w:rPr>
              <w:t xml:space="preserve"> therapy</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assays used to measure on-</w:t>
            </w:r>
            <w:proofErr w:type="spellStart"/>
            <w:r w:rsidRPr="00CB43E9">
              <w:rPr>
                <w:rFonts w:ascii="Arial" w:hAnsi="Arial" w:cs="Arial"/>
                <w:sz w:val="18"/>
                <w:szCs w:val="18"/>
              </w:rPr>
              <w:t>clopidogrel</w:t>
            </w:r>
            <w:proofErr w:type="spellEnd"/>
            <w:r w:rsidRPr="00CB43E9">
              <w:rPr>
                <w:rFonts w:ascii="Arial" w:hAnsi="Arial" w:cs="Arial"/>
                <w:sz w:val="18"/>
                <w:szCs w:val="18"/>
              </w:rPr>
              <w:t xml:space="preserve"> platelet reactivity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 (single study available for each population)</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6 studies, using diverse assays to measure reactivity, were available in clinically heterogeneous populations.</w:t>
            </w:r>
          </w:p>
          <w:p w:rsidR="00E60974" w:rsidRPr="00CB43E9" w:rsidRDefault="00E60974" w:rsidP="005E1103">
            <w:pPr>
              <w:rPr>
                <w:rFonts w:ascii="Arial" w:hAnsi="Arial" w:cs="Arial"/>
                <w:sz w:val="18"/>
                <w:szCs w:val="18"/>
              </w:rPr>
            </w:pPr>
            <w:r w:rsidRPr="00CB43E9">
              <w:rPr>
                <w:rFonts w:ascii="Arial" w:hAnsi="Arial" w:cs="Arial"/>
                <w:sz w:val="18"/>
                <w:szCs w:val="18"/>
              </w:rPr>
              <w:t>Studies were fairly small.</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t>2c</w:t>
            </w:r>
            <w:proofErr w:type="spellEnd"/>
            <w:r w:rsidRPr="00CB43E9">
              <w:rPr>
                <w:rFonts w:ascii="Arial" w:hAnsi="Arial" w:cs="Arial"/>
                <w:b/>
                <w:bCs/>
                <w:iCs/>
                <w:sz w:val="18"/>
                <w:szCs w:val="18"/>
              </w:rPr>
              <w:t>: What factors affect the predictive value of phenotypic testing for platelet reactivity?</w:t>
            </w: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patient populations</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assays used to measure on-</w:t>
            </w:r>
            <w:proofErr w:type="spellStart"/>
            <w:r w:rsidRPr="00CB43E9">
              <w:rPr>
                <w:rFonts w:ascii="Arial" w:hAnsi="Arial" w:cs="Arial"/>
                <w:sz w:val="18"/>
                <w:szCs w:val="18"/>
              </w:rPr>
              <w:t>clopidogrel</w:t>
            </w:r>
            <w:proofErr w:type="spellEnd"/>
            <w:r w:rsidRPr="00CB43E9">
              <w:rPr>
                <w:rFonts w:ascii="Arial" w:hAnsi="Arial" w:cs="Arial"/>
                <w:sz w:val="18"/>
                <w:szCs w:val="18"/>
              </w:rPr>
              <w:t xml:space="preserve"> platelet reactivity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Inconsistent (for factors evaluated by ≥2 studies)</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 xml:space="preserve">7 studies provided information on effect modification; no factor was assessed by more than 3 studies. Effect modification by study-level factors could not be assessed for most assays–outcome pairs; when such analysis was possible (for </w:t>
            </w:r>
            <w:proofErr w:type="spellStart"/>
            <w:r w:rsidRPr="00CB43E9">
              <w:rPr>
                <w:rFonts w:ascii="Arial" w:hAnsi="Arial" w:cs="Arial"/>
                <w:sz w:val="18"/>
                <w:szCs w:val="18"/>
              </w:rPr>
              <w:t>VerifyNow</w:t>
            </w:r>
            <w:proofErr w:type="spellEnd"/>
            <w:r w:rsidRPr="00CB43E9">
              <w:rPr>
                <w:rFonts w:ascii="Arial" w:hAnsi="Arial" w:cs="Arial"/>
                <w:sz w:val="18"/>
                <w:szCs w:val="18"/>
              </w:rPr>
              <w:t xml:space="preserve"> MACE), results indicated substantial uncertainty.</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cantSplit/>
          <w:jc w:val="center"/>
        </w:trPr>
        <w:tc>
          <w:tcPr>
            <w:tcW w:w="1486" w:type="dxa"/>
            <w:tcBorders>
              <w:top w:val="single" w:sz="4" w:space="0" w:color="auto"/>
              <w:left w:val="nil"/>
              <w:bottom w:val="single" w:sz="4" w:space="0" w:color="auto"/>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t>3a</w:t>
            </w:r>
            <w:proofErr w:type="spellEnd"/>
            <w:r w:rsidRPr="00CB43E9">
              <w:rPr>
                <w:rFonts w:ascii="Arial" w:hAnsi="Arial" w:cs="Arial"/>
                <w:b/>
                <w:bCs/>
                <w:iCs/>
                <w:sz w:val="18"/>
                <w:szCs w:val="18"/>
              </w:rPr>
              <w:t>: What is the comparative effectiveness of alternative test-and-treat strategies</w:t>
            </w:r>
          </w:p>
        </w:tc>
        <w:tc>
          <w:tcPr>
            <w:tcW w:w="1188"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Ischemic heart disease</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Genetic testing for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or phenotypic testing for platelet reactivity (all assays assessed)</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 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 (single study was available for each population/treatment strategy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Not suspected</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 xml:space="preserve">Repurposed </w:t>
            </w:r>
            <w:proofErr w:type="spellStart"/>
            <w:r w:rsidRPr="00CB43E9">
              <w:rPr>
                <w:rFonts w:ascii="Arial" w:hAnsi="Arial" w:cs="Arial"/>
                <w:sz w:val="18"/>
                <w:szCs w:val="18"/>
              </w:rPr>
              <w:t>RCTs</w:t>
            </w:r>
            <w:proofErr w:type="spellEnd"/>
            <w:r w:rsidRPr="00CB43E9">
              <w:rPr>
                <w:rFonts w:ascii="Arial" w:hAnsi="Arial" w:cs="Arial"/>
                <w:sz w:val="18"/>
                <w:szCs w:val="18"/>
              </w:rPr>
              <w:t xml:space="preserve"> reported on non-random subsets of the populations included in the parent trials and were not specifically designed to assess effect modification; a single well-conducted </w:t>
            </w:r>
            <w:proofErr w:type="spellStart"/>
            <w:r w:rsidRPr="00CB43E9">
              <w:rPr>
                <w:rFonts w:ascii="Arial" w:hAnsi="Arial" w:cs="Arial"/>
                <w:sz w:val="18"/>
                <w:szCs w:val="18"/>
              </w:rPr>
              <w:t>RCT</w:t>
            </w:r>
            <w:proofErr w:type="spellEnd"/>
            <w:r w:rsidRPr="00CB43E9">
              <w:rPr>
                <w:rFonts w:ascii="Arial" w:hAnsi="Arial" w:cs="Arial"/>
                <w:sz w:val="18"/>
                <w:szCs w:val="18"/>
              </w:rPr>
              <w:t xml:space="preserve"> directly comparing test-based vs. non-test-based treatment had short </w:t>
            </w:r>
            <w:proofErr w:type="spellStart"/>
            <w:r w:rsidRPr="00CB43E9">
              <w:rPr>
                <w:rFonts w:ascii="Arial" w:hAnsi="Arial" w:cs="Arial"/>
                <w:sz w:val="18"/>
                <w:szCs w:val="18"/>
              </w:rPr>
              <w:t>followup</w:t>
            </w:r>
            <w:proofErr w:type="spellEnd"/>
            <w:r w:rsidRPr="00CB43E9">
              <w:rPr>
                <w:rFonts w:ascii="Arial" w:hAnsi="Arial" w:cs="Arial"/>
                <w:sz w:val="18"/>
                <w:szCs w:val="18"/>
              </w:rPr>
              <w:t xml:space="preserve"> and did not report any major clinical events.</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286C3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p>
        </w:tc>
        <w:tc>
          <w:tcPr>
            <w:tcW w:w="1188"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Phenotypic testing for platelet reactivity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 -High</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Generally qualitatively consistent (</w:t>
            </w:r>
            <w:proofErr w:type="spellStart"/>
            <w:r w:rsidRPr="00CB43E9">
              <w:rPr>
                <w:rFonts w:ascii="Arial" w:hAnsi="Arial" w:cs="Arial"/>
                <w:sz w:val="18"/>
                <w:szCs w:val="18"/>
              </w:rPr>
              <w:t>RCTs</w:t>
            </w:r>
            <w:proofErr w:type="spellEnd"/>
            <w:r w:rsidRPr="00CB43E9">
              <w:rPr>
                <w:rFonts w:ascii="Arial" w:hAnsi="Arial" w:cs="Arial"/>
                <w:sz w:val="18"/>
                <w:szCs w:val="18"/>
              </w:rPr>
              <w:t xml:space="preserve"> produced consistent results between them; the </w:t>
            </w:r>
            <w:proofErr w:type="spellStart"/>
            <w:r w:rsidRPr="00CB43E9">
              <w:rPr>
                <w:rFonts w:ascii="Arial" w:hAnsi="Arial" w:cs="Arial"/>
                <w:sz w:val="18"/>
                <w:szCs w:val="18"/>
              </w:rPr>
              <w:t>NRCS</w:t>
            </w:r>
            <w:proofErr w:type="spellEnd"/>
            <w:r w:rsidRPr="00CB43E9">
              <w:rPr>
                <w:rFonts w:ascii="Arial" w:hAnsi="Arial" w:cs="Arial"/>
                <w:sz w:val="18"/>
                <w:szCs w:val="18"/>
              </w:rPr>
              <w:t xml:space="preserve"> produced inconsistent results with those of </w:t>
            </w:r>
            <w:proofErr w:type="spellStart"/>
            <w:r w:rsidRPr="00CB43E9">
              <w:rPr>
                <w:rFonts w:ascii="Arial" w:hAnsi="Arial" w:cs="Arial"/>
                <w:sz w:val="18"/>
                <w:szCs w:val="18"/>
              </w:rPr>
              <w:t>RCTs</w:t>
            </w:r>
            <w:proofErr w:type="spellEnd"/>
            <w:r w:rsidRPr="00CB43E9">
              <w:rPr>
                <w:rFonts w:ascii="Arial" w:hAnsi="Arial" w:cs="Arial"/>
                <w:sz w:val="18"/>
                <w:szCs w:val="18"/>
              </w:rPr>
              <w:t xml:space="preserve"> for cardiovascular mortality)</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Atrial fibrillation</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Genetic testing for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or phenotypic testing for platelet reactivity (all assays assessed)</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highlight w:val="yellow"/>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 (single study)</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Not suspected</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 xml:space="preserve">1 study providing information on effect modification by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status was identified</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Phenotypic testing for platelet reactivity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highlight w:val="yellow"/>
              </w:rPr>
            </w:pPr>
            <w:r w:rsidRPr="00CB43E9">
              <w:rPr>
                <w:rFonts w:ascii="Arial" w:hAnsi="Arial" w:cs="Arial"/>
                <w:sz w:val="18"/>
                <w:szCs w:val="18"/>
              </w:rPr>
              <w:t>NA</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 studies were identified</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right w:val="nil"/>
            </w:tcBorders>
          </w:tcPr>
          <w:p w:rsidR="00E60974" w:rsidRPr="00CB43E9" w:rsidRDefault="00E60974" w:rsidP="005E1103">
            <w:pPr>
              <w:rPr>
                <w:rFonts w:ascii="Arial" w:hAnsi="Arial" w:cs="Arial"/>
                <w:b/>
                <w:bCs/>
                <w:iCs/>
                <w:sz w:val="18"/>
                <w:szCs w:val="18"/>
              </w:rPr>
            </w:pP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Other patient populations</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Genetic testing for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or phenotypic testing for platelet reactivity (all assays assessed)</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 (single study)</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Not suspected</w:t>
            </w:r>
          </w:p>
        </w:tc>
        <w:tc>
          <w:tcPr>
            <w:tcW w:w="2922" w:type="dxa"/>
            <w:tcBorders>
              <w:top w:val="single" w:sz="4" w:space="0" w:color="auto"/>
              <w:left w:val="nil"/>
              <w:bottom w:val="single" w:sz="4" w:space="0" w:color="auto"/>
              <w:right w:val="nil"/>
            </w:tcBorders>
          </w:tcPr>
          <w:p w:rsidR="00E60974" w:rsidRPr="00CB43E9" w:rsidRDefault="00E60974" w:rsidP="005E1103">
            <w:pPr>
              <w:tabs>
                <w:tab w:val="left" w:pos="-283"/>
              </w:tabs>
              <w:rPr>
                <w:rFonts w:ascii="Arial" w:hAnsi="Arial" w:cs="Arial"/>
                <w:sz w:val="18"/>
                <w:szCs w:val="18"/>
              </w:rPr>
            </w:pPr>
            <w:r w:rsidRPr="00CB43E9">
              <w:rPr>
                <w:rFonts w:ascii="Arial" w:hAnsi="Arial" w:cs="Arial"/>
                <w:sz w:val="18"/>
                <w:szCs w:val="18"/>
              </w:rPr>
              <w:t xml:space="preserve">1 study provided information on treatment effect modification in a mixed population of patients with </w:t>
            </w:r>
            <w:proofErr w:type="spellStart"/>
            <w:r w:rsidRPr="00CB43E9">
              <w:rPr>
                <w:rFonts w:ascii="Arial" w:hAnsi="Arial" w:cs="Arial"/>
                <w:sz w:val="18"/>
                <w:szCs w:val="18"/>
              </w:rPr>
              <w:t>atherothrombotic</w:t>
            </w:r>
            <w:proofErr w:type="spellEnd"/>
            <w:r w:rsidRPr="00CB43E9">
              <w:rPr>
                <w:rFonts w:ascii="Arial" w:hAnsi="Arial" w:cs="Arial"/>
                <w:sz w:val="18"/>
                <w:szCs w:val="18"/>
              </w:rPr>
              <w:t xml:space="preserve"> disease (cardiovascular, cerebrovascular, or peripheral arterial) along with asymptomatic individuals at risk for </w:t>
            </w:r>
            <w:proofErr w:type="spellStart"/>
            <w:r w:rsidRPr="00CB43E9">
              <w:rPr>
                <w:rFonts w:ascii="Arial" w:hAnsi="Arial" w:cs="Arial"/>
                <w:sz w:val="18"/>
                <w:szCs w:val="18"/>
              </w:rPr>
              <w:t>atherothrombotic</w:t>
            </w:r>
            <w:proofErr w:type="spellEnd"/>
            <w:r w:rsidRPr="00CB43E9">
              <w:rPr>
                <w:rFonts w:ascii="Arial" w:hAnsi="Arial" w:cs="Arial"/>
                <w:sz w:val="18"/>
                <w:szCs w:val="18"/>
              </w:rPr>
              <w:t xml:space="preserve"> disease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Phenotypic testing for platelet reactivity</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 studies were identified</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roofErr w:type="spellStart"/>
            <w:r w:rsidRPr="00CB43E9">
              <w:rPr>
                <w:rFonts w:ascii="Arial" w:hAnsi="Arial" w:cs="Arial"/>
                <w:b/>
                <w:bCs/>
                <w:iCs/>
                <w:sz w:val="18"/>
                <w:szCs w:val="18"/>
              </w:rPr>
              <w:lastRenderedPageBreak/>
              <w:t>3b</w:t>
            </w:r>
            <w:proofErr w:type="spellEnd"/>
            <w:r w:rsidRPr="00CB43E9">
              <w:rPr>
                <w:rFonts w:ascii="Arial" w:hAnsi="Arial" w:cs="Arial"/>
                <w:b/>
                <w:bCs/>
                <w:iCs/>
                <w:sz w:val="18"/>
                <w:szCs w:val="18"/>
              </w:rPr>
              <w:t>: What factors modify the comparative effectiveness of alternative test-and-treat strategies?</w:t>
            </w: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patient populations</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Genetic testing for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 or phenotypic testing for platelet reactivity (all assays assessed)</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 (each study assessed different effect modifiers)</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None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w:t>
            </w:r>
          </w:p>
        </w:tc>
      </w:tr>
      <w:tr w:rsidR="00E60974" w:rsidRPr="00CB43E9" w:rsidTr="00CB43E9">
        <w:trPr>
          <w:cantSplit/>
          <w:jc w:val="center"/>
        </w:trPr>
        <w:tc>
          <w:tcPr>
            <w:tcW w:w="1486" w:type="dxa"/>
            <w:tcBorders>
              <w:top w:val="single" w:sz="4" w:space="0" w:color="auto"/>
              <w:left w:val="nil"/>
              <w:right w:val="nil"/>
            </w:tcBorders>
          </w:tcPr>
          <w:p w:rsidR="00E60974" w:rsidRPr="00CB43E9" w:rsidRDefault="00E60974" w:rsidP="005E1103">
            <w:pPr>
              <w:rPr>
                <w:rFonts w:ascii="Arial" w:hAnsi="Arial" w:cs="Arial"/>
                <w:b/>
                <w:bCs/>
                <w:iCs/>
                <w:sz w:val="18"/>
                <w:szCs w:val="18"/>
              </w:rPr>
            </w:pPr>
            <w:r w:rsidRPr="00CB43E9">
              <w:rPr>
                <w:rFonts w:ascii="Arial" w:hAnsi="Arial" w:cs="Arial"/>
                <w:b/>
                <w:bCs/>
                <w:iCs/>
                <w:sz w:val="18"/>
                <w:szCs w:val="18"/>
              </w:rPr>
              <w:t>4: What are the harms of testing? What are the harms of test-directed treatment?</w:t>
            </w:r>
          </w:p>
        </w:tc>
        <w:tc>
          <w:tcPr>
            <w:tcW w:w="1188" w:type="dxa"/>
            <w:tcBorders>
              <w:top w:val="single" w:sz="4" w:space="0" w:color="auto"/>
              <w:left w:val="nil"/>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patient populations</w:t>
            </w: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Genetic testing for </w:t>
            </w:r>
            <w:proofErr w:type="spellStart"/>
            <w:r w:rsidRPr="00CB43E9">
              <w:rPr>
                <w:rFonts w:ascii="Arial" w:hAnsi="Arial" w:cs="Arial"/>
                <w:sz w:val="18"/>
                <w:szCs w:val="18"/>
              </w:rPr>
              <w:t>CYP2C19</w:t>
            </w:r>
            <w:proofErr w:type="spellEnd"/>
            <w:r w:rsidRPr="00CB43E9">
              <w:rPr>
                <w:rFonts w:ascii="Arial" w:hAnsi="Arial" w:cs="Arial"/>
                <w:sz w:val="18"/>
                <w:szCs w:val="18"/>
              </w:rPr>
              <w:t xml:space="preserve"> variants</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Low- Intermediate (for the harms of test-directed treatment)</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Direct (for the harms of test-directed treatment) </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 single study was available for each population/treatment strategy of interest</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Not suspected</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No studies provided direct information on the harms of testing per se</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 both for harms of test-directed treatment and for harms of testing per se</w:t>
            </w:r>
          </w:p>
        </w:tc>
      </w:tr>
      <w:tr w:rsidR="00E60974" w:rsidRPr="00CB43E9" w:rsidTr="00CB43E9">
        <w:trPr>
          <w:cantSplit/>
          <w:jc w:val="center"/>
        </w:trPr>
        <w:tc>
          <w:tcPr>
            <w:tcW w:w="1486" w:type="dxa"/>
            <w:tcBorders>
              <w:left w:val="nil"/>
              <w:bottom w:val="single" w:sz="4" w:space="0" w:color="auto"/>
              <w:right w:val="nil"/>
            </w:tcBorders>
          </w:tcPr>
          <w:p w:rsidR="00E60974" w:rsidRPr="00CB43E9" w:rsidRDefault="00E60974" w:rsidP="005E1103">
            <w:pPr>
              <w:rPr>
                <w:rFonts w:ascii="Arial" w:hAnsi="Arial" w:cs="Arial"/>
                <w:b/>
                <w:bCs/>
                <w:iCs/>
                <w:sz w:val="18"/>
                <w:szCs w:val="18"/>
              </w:rPr>
            </w:pPr>
          </w:p>
        </w:tc>
        <w:tc>
          <w:tcPr>
            <w:tcW w:w="1188" w:type="dxa"/>
            <w:tcBorders>
              <w:left w:val="nil"/>
              <w:bottom w:val="single" w:sz="4" w:space="0" w:color="auto"/>
              <w:right w:val="nil"/>
            </w:tcBorders>
          </w:tcPr>
          <w:p w:rsidR="00E60974" w:rsidRPr="00CB43E9" w:rsidRDefault="00E60974" w:rsidP="005E1103">
            <w:pPr>
              <w:rPr>
                <w:rFonts w:ascii="Arial" w:hAnsi="Arial" w:cs="Arial"/>
                <w:sz w:val="18"/>
                <w:szCs w:val="18"/>
              </w:rPr>
            </w:pPr>
          </w:p>
        </w:tc>
        <w:tc>
          <w:tcPr>
            <w:tcW w:w="14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Phenotypic testing for platelet reactivity (all assays assessed)</w:t>
            </w:r>
          </w:p>
        </w:tc>
        <w:tc>
          <w:tcPr>
            <w:tcW w:w="126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All clinical outcomes</w:t>
            </w:r>
          </w:p>
        </w:tc>
        <w:tc>
          <w:tcPr>
            <w:tcW w:w="987"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Intermediate -High</w:t>
            </w:r>
          </w:p>
        </w:tc>
        <w:tc>
          <w:tcPr>
            <w:tcW w:w="9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Indirect</w:t>
            </w:r>
          </w:p>
        </w:tc>
        <w:tc>
          <w:tcPr>
            <w:tcW w:w="1489"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NA (single study)</w:t>
            </w:r>
          </w:p>
        </w:tc>
        <w:tc>
          <w:tcPr>
            <w:tcW w:w="85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Imprecise</w:t>
            </w:r>
          </w:p>
        </w:tc>
        <w:tc>
          <w:tcPr>
            <w:tcW w:w="127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Suspected (mainly selective outcome reporting)</w:t>
            </w:r>
          </w:p>
        </w:tc>
        <w:tc>
          <w:tcPr>
            <w:tcW w:w="2922"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 xml:space="preserve">1 study reported delays in PCI due to repeat testing. No studies provided direct information on the harms of testing per se. </w:t>
            </w:r>
          </w:p>
        </w:tc>
        <w:tc>
          <w:tcPr>
            <w:tcW w:w="990" w:type="dxa"/>
            <w:tcBorders>
              <w:top w:val="single" w:sz="4" w:space="0" w:color="auto"/>
              <w:left w:val="nil"/>
              <w:bottom w:val="single" w:sz="4" w:space="0" w:color="auto"/>
              <w:right w:val="nil"/>
            </w:tcBorders>
          </w:tcPr>
          <w:p w:rsidR="00E60974" w:rsidRPr="00CB43E9" w:rsidRDefault="00E60974" w:rsidP="005E1103">
            <w:pPr>
              <w:rPr>
                <w:rFonts w:ascii="Arial" w:hAnsi="Arial" w:cs="Arial"/>
                <w:sz w:val="18"/>
                <w:szCs w:val="18"/>
              </w:rPr>
            </w:pPr>
            <w:r w:rsidRPr="00CB43E9">
              <w:rPr>
                <w:rFonts w:ascii="Arial" w:hAnsi="Arial" w:cs="Arial"/>
                <w:sz w:val="18"/>
                <w:szCs w:val="18"/>
              </w:rPr>
              <w:t>Insufficient, both for harms of test-directed treatment and for harms of testing per se</w:t>
            </w:r>
          </w:p>
        </w:tc>
      </w:tr>
    </w:tbl>
    <w:p w:rsidR="00E60974" w:rsidRDefault="00E60974" w:rsidP="00CB43E9">
      <w:pPr>
        <w:pStyle w:val="TableNote"/>
      </w:pPr>
      <w:r w:rsidRPr="00815FB6">
        <w:t xml:space="preserve">CI = confidence interval; </w:t>
      </w:r>
      <w:proofErr w:type="spellStart"/>
      <w:r w:rsidRPr="00815FB6">
        <w:t>GOF</w:t>
      </w:r>
      <w:proofErr w:type="spellEnd"/>
      <w:r w:rsidRPr="00815FB6">
        <w:t xml:space="preserve"> = gain-of-function; </w:t>
      </w:r>
      <w:proofErr w:type="spellStart"/>
      <w:r w:rsidRPr="00815FB6">
        <w:t>LOF</w:t>
      </w:r>
      <w:proofErr w:type="spellEnd"/>
      <w:r w:rsidRPr="00815FB6">
        <w:t xml:space="preserve"> = loss-of-function; MACE = major adverse cardiovascular events; NA = not applicable; </w:t>
      </w:r>
      <w:r>
        <w:t xml:space="preserve">PCI = percutaneous coronary intervention; </w:t>
      </w:r>
      <w:r w:rsidRPr="00815FB6">
        <w:t xml:space="preserve">RR = relative risk; </w:t>
      </w:r>
      <w:proofErr w:type="spellStart"/>
      <w:r w:rsidRPr="00815FB6">
        <w:t>SOE</w:t>
      </w:r>
      <w:proofErr w:type="spellEnd"/>
      <w:r w:rsidRPr="00815FB6">
        <w:t xml:space="preserve"> = strength of evidence. </w:t>
      </w:r>
    </w:p>
    <w:p w:rsidR="00E60974" w:rsidRDefault="00E60974" w:rsidP="005E1103"/>
    <w:p w:rsidR="00E60974" w:rsidRPr="00691486" w:rsidRDefault="00E60974" w:rsidP="005E1103">
      <w:pPr>
        <w:tabs>
          <w:tab w:val="left" w:pos="4969"/>
        </w:tabs>
      </w:pPr>
    </w:p>
    <w:p w:rsidR="00824199" w:rsidRDefault="00824199"/>
    <w:sectPr w:rsidR="00824199" w:rsidSect="00737422">
      <w:footerReference w:type="default" r:id="rId9"/>
      <w:footnotePr>
        <w:numFmt w:val="lowerLetter"/>
        <w:numRestart w:val="eachSect"/>
      </w:footnotePr>
      <w:type w:val="continuous"/>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02" w:rsidRDefault="00F41402" w:rsidP="00FC3BBE">
      <w:r>
        <w:separator/>
      </w:r>
    </w:p>
  </w:endnote>
  <w:endnote w:type="continuationSeparator" w:id="0">
    <w:p w:rsidR="00F41402" w:rsidRDefault="00F41402"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6C58EB" w:rsidP="005A44EA">
        <w:pPr>
          <w:pStyle w:val="Footer"/>
          <w:jc w:val="center"/>
          <w:rPr>
            <w:rFonts w:ascii="Times New Roman" w:hAnsi="Times New Roman"/>
            <w:sz w:val="24"/>
            <w:szCs w:val="24"/>
          </w:rPr>
        </w:pPr>
        <w:r>
          <w:rPr>
            <w:rFonts w:ascii="Times New Roman" w:hAnsi="Times New Roman"/>
            <w:sz w:val="24"/>
            <w:szCs w:val="24"/>
          </w:rPr>
          <w:t>G</w:t>
        </w:r>
        <w:r w:rsidRPr="009F40D1">
          <w:rPr>
            <w:rFonts w:ascii="Times New Roman" w:hAnsi="Times New Roman"/>
            <w:sz w:val="24"/>
            <w:szCs w:val="24"/>
          </w:rPr>
          <w:t>-</w:t>
        </w:r>
        <w:r w:rsidRPr="009F40D1">
          <w:rPr>
            <w:rFonts w:ascii="Times New Roman" w:hAnsi="Times New Roman"/>
            <w:sz w:val="24"/>
            <w:szCs w:val="24"/>
          </w:rPr>
          <w:fldChar w:fldCharType="begin"/>
        </w:r>
        <w:r w:rsidRPr="009F40D1">
          <w:rPr>
            <w:rFonts w:ascii="Times New Roman" w:hAnsi="Times New Roman"/>
            <w:sz w:val="24"/>
            <w:szCs w:val="24"/>
          </w:rPr>
          <w:instrText xml:space="preserve"> PAGE   \* MERGEFORMAT </w:instrText>
        </w:r>
        <w:r w:rsidRPr="009F40D1">
          <w:rPr>
            <w:rFonts w:ascii="Times New Roman" w:hAnsi="Times New Roman"/>
            <w:sz w:val="24"/>
            <w:szCs w:val="24"/>
          </w:rPr>
          <w:fldChar w:fldCharType="separate"/>
        </w:r>
        <w:r w:rsidR="002F283F">
          <w:rPr>
            <w:rFonts w:ascii="Times New Roman" w:hAnsi="Times New Roman"/>
            <w:noProof/>
            <w:sz w:val="24"/>
            <w:szCs w:val="24"/>
          </w:rPr>
          <w:t>1</w:t>
        </w:r>
        <w:r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02" w:rsidRDefault="00F41402" w:rsidP="00FC3BBE">
      <w:r>
        <w:separator/>
      </w:r>
    </w:p>
  </w:footnote>
  <w:footnote w:type="continuationSeparator" w:id="0">
    <w:p w:rsidR="00F41402" w:rsidRDefault="00F41402"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Fmt w:val="lowerLette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283F"/>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1402"/>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EF76-E4ED-4CBB-A7B6-BB6E3A32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Priyanka Pawar</cp:lastModifiedBy>
  <cp:revision>2</cp:revision>
  <cp:lastPrinted>2013-09-19T14:49:00Z</cp:lastPrinted>
  <dcterms:created xsi:type="dcterms:W3CDTF">2013-11-11T08:58:00Z</dcterms:created>
  <dcterms:modified xsi:type="dcterms:W3CDTF">2013-11-11T08:58:00Z</dcterms:modified>
</cp:coreProperties>
</file>