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5FC" w:rsidRPr="0069752A" w:rsidRDefault="003A35FC" w:rsidP="003A35FC">
      <w:pPr>
        <w:pStyle w:val="TableTitle"/>
      </w:pPr>
      <w:r>
        <w:t xml:space="preserve">Appendix </w:t>
      </w:r>
      <w:r w:rsidRPr="0069752A">
        <w:t xml:space="preserve">Table </w:t>
      </w:r>
      <w:r>
        <w:t>F2. Assessment of risk of bias in s</w:t>
      </w:r>
      <w:r w:rsidRPr="0069752A">
        <w:t xml:space="preserve">tudies </w:t>
      </w:r>
      <w:r>
        <w:t>of CYP2C19 genetic testing assessing treatment effect modification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243"/>
        <w:gridCol w:w="608"/>
        <w:gridCol w:w="290"/>
        <w:gridCol w:w="734"/>
        <w:gridCol w:w="520"/>
        <w:gridCol w:w="742"/>
        <w:gridCol w:w="695"/>
        <w:gridCol w:w="901"/>
        <w:gridCol w:w="695"/>
        <w:gridCol w:w="520"/>
        <w:gridCol w:w="298"/>
        <w:gridCol w:w="1004"/>
        <w:gridCol w:w="972"/>
        <w:gridCol w:w="520"/>
        <w:gridCol w:w="972"/>
        <w:gridCol w:w="782"/>
        <w:gridCol w:w="766"/>
        <w:gridCol w:w="726"/>
      </w:tblGrid>
      <w:tr w:rsidR="003A35FC" w:rsidRPr="001600DD" w:rsidTr="007B0DD7">
        <w:trPr>
          <w:cantSplit/>
          <w:tblHeader/>
        </w:trPr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00DD">
              <w:rPr>
                <w:rFonts w:ascii="Arial" w:hAnsi="Arial" w:cs="Arial"/>
                <w:b/>
                <w:sz w:val="18"/>
                <w:szCs w:val="18"/>
              </w:rPr>
              <w:t xml:space="preserve">Author </w:t>
            </w:r>
          </w:p>
          <w:p w:rsidR="003A35FC" w:rsidRPr="001600DD" w:rsidRDefault="003A35FC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00DD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:rsidR="003A35FC" w:rsidRPr="001600DD" w:rsidRDefault="003A35FC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00DD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  <w:p w:rsidR="003A35FC" w:rsidRPr="001600DD" w:rsidRDefault="003A35FC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00DD">
              <w:rPr>
                <w:rFonts w:ascii="Arial" w:hAnsi="Arial" w:cs="Arial"/>
                <w:b/>
                <w:sz w:val="18"/>
                <w:szCs w:val="18"/>
              </w:rPr>
              <w:t>PMID</w:t>
            </w:r>
          </w:p>
          <w:p w:rsidR="003A35FC" w:rsidRPr="001600DD" w:rsidRDefault="003A35FC" w:rsidP="007B0D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00DD">
              <w:rPr>
                <w:rFonts w:ascii="Arial" w:hAnsi="Arial" w:cs="Arial"/>
                <w:b/>
                <w:sz w:val="18"/>
                <w:szCs w:val="18"/>
              </w:rPr>
              <w:t>Study name (if available)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5FC" w:rsidRPr="001600DD" w:rsidRDefault="003A35FC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00DD">
              <w:rPr>
                <w:rFonts w:ascii="Arial" w:hAnsi="Arial" w:cs="Arial"/>
                <w:b/>
                <w:sz w:val="18"/>
                <w:szCs w:val="18"/>
              </w:rPr>
              <w:t>Q1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5FC" w:rsidRPr="001600DD" w:rsidRDefault="003A35FC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00DD">
              <w:rPr>
                <w:rFonts w:ascii="Arial" w:hAnsi="Arial" w:cs="Arial"/>
                <w:b/>
                <w:sz w:val="18"/>
                <w:szCs w:val="18"/>
              </w:rPr>
              <w:t>Q2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5FC" w:rsidRPr="001600DD" w:rsidRDefault="003A35FC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00DD">
              <w:rPr>
                <w:rFonts w:ascii="Arial" w:hAnsi="Arial" w:cs="Arial"/>
                <w:b/>
                <w:sz w:val="18"/>
                <w:szCs w:val="18"/>
              </w:rPr>
              <w:t>Q3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5FC" w:rsidRPr="001600DD" w:rsidRDefault="003A35FC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00DD">
              <w:rPr>
                <w:rFonts w:ascii="Arial" w:hAnsi="Arial" w:cs="Arial"/>
                <w:b/>
                <w:sz w:val="18"/>
                <w:szCs w:val="18"/>
              </w:rPr>
              <w:t>Q4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5FC" w:rsidRPr="001600DD" w:rsidRDefault="003A35FC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00DD">
              <w:rPr>
                <w:rFonts w:ascii="Arial" w:hAnsi="Arial" w:cs="Arial"/>
                <w:b/>
                <w:sz w:val="18"/>
                <w:szCs w:val="18"/>
              </w:rPr>
              <w:t>Q5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5FC" w:rsidRPr="001600DD" w:rsidRDefault="003A35FC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00DD">
              <w:rPr>
                <w:rFonts w:ascii="Arial" w:hAnsi="Arial" w:cs="Arial"/>
                <w:b/>
                <w:sz w:val="18"/>
                <w:szCs w:val="18"/>
              </w:rPr>
              <w:t>Q6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5FC" w:rsidRPr="001600DD" w:rsidRDefault="003A35FC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00DD">
              <w:rPr>
                <w:rFonts w:ascii="Arial" w:hAnsi="Arial" w:cs="Arial"/>
                <w:b/>
                <w:sz w:val="18"/>
                <w:szCs w:val="18"/>
              </w:rPr>
              <w:t>Q7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5FC" w:rsidRPr="001600DD" w:rsidRDefault="003A35FC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00DD">
              <w:rPr>
                <w:rFonts w:ascii="Arial" w:hAnsi="Arial" w:cs="Arial"/>
                <w:b/>
                <w:sz w:val="18"/>
                <w:szCs w:val="18"/>
              </w:rPr>
              <w:t>Q8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5FC" w:rsidRPr="001600DD" w:rsidRDefault="003A35FC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00DD">
              <w:rPr>
                <w:rFonts w:ascii="Arial" w:hAnsi="Arial" w:cs="Arial"/>
                <w:b/>
                <w:sz w:val="18"/>
                <w:szCs w:val="18"/>
              </w:rPr>
              <w:t>Q9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5FC" w:rsidRPr="001600DD" w:rsidRDefault="003A35FC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00DD">
              <w:rPr>
                <w:rFonts w:ascii="Arial" w:hAnsi="Arial" w:cs="Arial"/>
                <w:b/>
                <w:sz w:val="18"/>
                <w:szCs w:val="18"/>
              </w:rPr>
              <w:t>Q10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5FC" w:rsidRPr="001600DD" w:rsidRDefault="003A35FC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00DD">
              <w:rPr>
                <w:rFonts w:ascii="Arial" w:hAnsi="Arial" w:cs="Arial"/>
                <w:b/>
                <w:sz w:val="18"/>
                <w:szCs w:val="18"/>
              </w:rPr>
              <w:t>Q11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5FC" w:rsidRPr="001600DD" w:rsidRDefault="003A35FC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00DD">
              <w:rPr>
                <w:rFonts w:ascii="Arial" w:hAnsi="Arial" w:cs="Arial"/>
                <w:b/>
                <w:sz w:val="18"/>
                <w:szCs w:val="18"/>
              </w:rPr>
              <w:t>Q12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5FC" w:rsidRPr="001600DD" w:rsidRDefault="003A35FC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00DD">
              <w:rPr>
                <w:rFonts w:ascii="Arial" w:hAnsi="Arial" w:cs="Arial"/>
                <w:b/>
                <w:sz w:val="18"/>
                <w:szCs w:val="18"/>
              </w:rPr>
              <w:t>Q13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5FC" w:rsidRPr="001600DD" w:rsidRDefault="003A35FC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00DD">
              <w:rPr>
                <w:rFonts w:ascii="Arial" w:hAnsi="Arial" w:cs="Arial"/>
                <w:b/>
                <w:sz w:val="18"/>
                <w:szCs w:val="18"/>
              </w:rPr>
              <w:t>Q14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5FC" w:rsidRPr="001600DD" w:rsidRDefault="003A35FC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00DD">
              <w:rPr>
                <w:rFonts w:ascii="Arial" w:hAnsi="Arial" w:cs="Arial"/>
                <w:b/>
                <w:sz w:val="18"/>
                <w:szCs w:val="18"/>
              </w:rPr>
              <w:t>Q15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5FC" w:rsidRPr="001600DD" w:rsidRDefault="003A35FC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00DD">
              <w:rPr>
                <w:rFonts w:ascii="Arial" w:hAnsi="Arial" w:cs="Arial"/>
                <w:b/>
                <w:sz w:val="18"/>
                <w:szCs w:val="18"/>
              </w:rPr>
              <w:t>Q16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5FC" w:rsidRPr="001600DD" w:rsidRDefault="003A35FC" w:rsidP="007B0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00DD">
              <w:rPr>
                <w:rFonts w:ascii="Arial" w:hAnsi="Arial" w:cs="Arial"/>
                <w:b/>
                <w:sz w:val="18"/>
                <w:szCs w:val="18"/>
              </w:rPr>
              <w:t>Q17</w:t>
            </w:r>
          </w:p>
        </w:tc>
      </w:tr>
      <w:tr w:rsidR="003A35FC" w:rsidRPr="001600DD" w:rsidTr="007B0DD7">
        <w:trPr>
          <w:cantSplit/>
        </w:trPr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Pare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2010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Multinational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20979470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CURE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(selected patients from an RCT)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(included patients ~40% of the CURE trial population)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(genotype grouping based on prior literature)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(central, 24h, computerized randomization service)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 xml:space="preserve">Low 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(centralized computer generated randomization)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(independent blind ascertainment)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3A35FC" w:rsidRPr="001600DD" w:rsidTr="007B0DD7">
        <w:trPr>
          <w:cantSplit/>
        </w:trPr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Pare</w:t>
            </w:r>
            <w:r>
              <w:rPr>
                <w:rFonts w:ascii="Arial" w:hAnsi="Arial" w:cs="Arial"/>
                <w:sz w:val="18"/>
                <w:szCs w:val="18"/>
              </w:rPr>
              <w:t>†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2010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Multinational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20979470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ACTIVE-A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(selected patients from an RCT)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(included patients ~15% of the ACTIVE-A population)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(genotype grouping based on prior literature)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(interactive phone system, varying blocks sizes)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(centralized, phone-based randomization)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(independent blind ascertainment)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3A35FC" w:rsidRPr="001600DD" w:rsidTr="007B0DD7">
        <w:trPr>
          <w:cantSplit/>
        </w:trPr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Mega</w:t>
            </w:r>
            <w:r>
              <w:rPr>
                <w:rFonts w:ascii="Arial" w:hAnsi="Arial" w:cs="Arial"/>
                <w:sz w:val="18"/>
                <w:szCs w:val="18"/>
              </w:rPr>
              <w:t>‡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2009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Multinational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19106084</w:t>
            </w:r>
            <w:r>
              <w:rPr>
                <w:rFonts w:ascii="Arial" w:hAnsi="Arial" w:cs="Arial"/>
                <w:sz w:val="18"/>
                <w:szCs w:val="18"/>
              </w:rPr>
              <w:t>§</w:t>
            </w:r>
            <w:r w:rsidRPr="001600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 xml:space="preserve">19414633 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 xml:space="preserve">TRITON TIMI – 38 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(selected patients from an RCT)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(included patients ~22% of the TRITON TIMI – 38 population)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(genotype grouping based on prior literature)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(independent blind ascertainment)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3A35FC" w:rsidRPr="001600DD" w:rsidTr="007B0DD7">
        <w:trPr>
          <w:cantSplit/>
        </w:trPr>
        <w:tc>
          <w:tcPr>
            <w:tcW w:w="0" w:type="auto"/>
            <w:shd w:val="clear" w:color="auto" w:fill="auto"/>
          </w:tcPr>
          <w:p w:rsidR="003A35FC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lastRenderedPageBreak/>
              <w:t>Mega</w:t>
            </w:r>
            <w:r>
              <w:rPr>
                <w:rFonts w:ascii="Arial" w:hAnsi="Arial" w:cs="Arial"/>
                <w:sz w:val="18"/>
                <w:szCs w:val="18"/>
              </w:rPr>
              <w:t>**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2010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Multinational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20801494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 xml:space="preserve">TRITON TIMI – 38 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(selected patients from an RCT)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(included patients ~22% of the TRITON TIMI – 38 population)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(genotype grouping based on prior literature)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(independent blind ascertainment)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(incomplete reporting in analyses relevant to this KQ)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(missing numerical results for this KQ)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3A35FC" w:rsidRPr="001600DD" w:rsidTr="007B0DD7">
        <w:trPr>
          <w:cantSplit/>
        </w:trPr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Varenhorst</w:t>
            </w:r>
            <w:r>
              <w:rPr>
                <w:rFonts w:ascii="Arial" w:hAnsi="Arial" w:cs="Arial"/>
                <w:sz w:val="18"/>
                <w:szCs w:val="18"/>
              </w:rPr>
              <w:t>††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2009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Sweden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19429918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TABR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 xml:space="preserve">High 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(included ~90% of eligible patients)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(genotype grouping based on prior literature)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(no clinical outcomes)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(30 d)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(Interactive voice-response system; random permuted block randomization)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(centralized randomization)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(inadequate data reported)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3A35FC" w:rsidRPr="001600DD" w:rsidTr="007B0DD7">
        <w:trPr>
          <w:cantSplit/>
        </w:trPr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Tantry</w:t>
            </w:r>
            <w:r>
              <w:rPr>
                <w:rFonts w:ascii="Arial" w:hAnsi="Arial" w:cs="Arial"/>
                <w:sz w:val="18"/>
                <w:szCs w:val="18"/>
              </w:rPr>
              <w:t>‡‡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2010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USA and UK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21079055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ONSET/OFFSET and RESPOND Genotype Studies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(included ~79% of the patients in the parent trial were included)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(multiple groupings of genotypes were evaluated)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(no clinical outcomes)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(2-4 w)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(centralized, balanced block randomization)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(random allocation was performed as patients were entered in the study)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 xml:space="preserve">High 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(data only in graphical form)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 xml:space="preserve">High 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(incomplete reporting)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3A35FC" w:rsidRPr="001600DD" w:rsidTr="007B0DD7">
        <w:trPr>
          <w:cantSplit/>
        </w:trPr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lastRenderedPageBreak/>
              <w:t>Kim</w:t>
            </w:r>
            <w:r>
              <w:rPr>
                <w:rFonts w:ascii="Arial" w:hAnsi="Arial" w:cs="Arial"/>
                <w:sz w:val="18"/>
                <w:szCs w:val="18"/>
              </w:rPr>
              <w:t>§§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2011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S. Korea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21511217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ACCELAMI2C19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(included ~90% of patients in the parent trial)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 (rationale for genotype grouping NR)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(30d)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(computer-generated randomization sequence)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(study personnel assessed reactivity “blinded to the study protocol”)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3A35FC" w:rsidRPr="001600DD" w:rsidTr="007B0DD7">
        <w:trPr>
          <w:cantSplit/>
        </w:trPr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Hwang</w:t>
            </w:r>
            <w:r>
              <w:rPr>
                <w:rFonts w:ascii="Arial" w:hAnsi="Arial" w:cs="Arial"/>
                <w:sz w:val="18"/>
                <w:szCs w:val="18"/>
              </w:rPr>
              <w:t>***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2010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S. Korea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20823393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ACCEL-RESISTANCE, DM, and COMPLEX trials (ACEL-POLYMORPHISM)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(included ~89% of patients in the parent trial)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(the authors cited a previous publication from their team)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(no clinical outcomes)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(30 d)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(computer-generated randomization sequence)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(randomization sequence was provided in envelopes)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(study personnel assessed reactivity “blinded to group assignment”)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3A35FC" w:rsidRPr="001600DD" w:rsidTr="007B0DD7">
        <w:trPr>
          <w:cantSplit/>
        </w:trPr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Gladding</w:t>
            </w:r>
            <w:r>
              <w:rPr>
                <w:rFonts w:ascii="Arial" w:hAnsi="Arial" w:cs="Arial"/>
                <w:sz w:val="18"/>
                <w:szCs w:val="18"/>
              </w:rPr>
              <w:t>†††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2008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New Zealand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19463375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PRINC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 xml:space="preserve">Low 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(included 100% of patients in the parent trial)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(no rationale reported; data on some genotypes not presented)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(no clinical outcomes)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 xml:space="preserve">High 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(7 d)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(computer-generated randomized sequence)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(some data only in graphical form)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(results not reported for all genotypes observed)</w:t>
            </w:r>
          </w:p>
        </w:tc>
      </w:tr>
      <w:tr w:rsidR="003A35FC" w:rsidRPr="001600DD" w:rsidTr="007B0DD7">
        <w:trPr>
          <w:cantSplit/>
        </w:trPr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Wallentin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2010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Multinational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20801498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PLATO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(included ~55% of patients in the parent trial)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(genotype grouping based on prior literature)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(results not reported for all genotypes observed)</w:t>
            </w:r>
          </w:p>
        </w:tc>
      </w:tr>
      <w:tr w:rsidR="003A35FC" w:rsidRPr="001600DD" w:rsidTr="007B0DD7">
        <w:trPr>
          <w:cantSplit/>
        </w:trPr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lastRenderedPageBreak/>
              <w:t>Park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2011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S. Korea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21345843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CILON-T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(included ~85% of patients in the parent trial)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(genotype and phenotypic grouping based on prior literature)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(no clinical outcomes)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 xml:space="preserve">High 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(until discharge)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3A35FC" w:rsidRPr="001600DD" w:rsidTr="007B0DD7">
        <w:trPr>
          <w:cantSplit/>
        </w:trPr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Bhatt</w:t>
            </w:r>
            <w:r>
              <w:rPr>
                <w:rFonts w:ascii="Arial" w:hAnsi="Arial" w:cs="Arial"/>
                <w:sz w:val="18"/>
                <w:szCs w:val="18"/>
              </w:rPr>
              <w:t>‡‡‡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2012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Multinational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22450429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CHARISMA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(selected patients from an RCT)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(included ~45% of patients in the parent trial)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 (preestablished randomization scheme, stratified according to site)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 (central; interactive voice-response system)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High (significant differences between patients enrolled in the parent trial and the genetic substudy)</w:t>
            </w:r>
          </w:p>
        </w:tc>
      </w:tr>
      <w:tr w:rsidR="003A35FC" w:rsidRPr="001600DD" w:rsidTr="007B0DD7">
        <w:trPr>
          <w:cantSplit/>
        </w:trPr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Collet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2011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France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21511218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CLOVIS-2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 (reported results on 96% of the enrolled patients)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 (enrollment in trial was stratified by baseline genotype status)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High</w:t>
            </w:r>
          </w:p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(no clinical outcomes)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 (reactivity measurement was blinded to genotype)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High (2 periods of 21 d)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 (web-based, centralized randomization procedure)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 (web-based, centralized randomization procedure)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High (open-label)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High (open-label)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0" w:type="auto"/>
            <w:shd w:val="clear" w:color="auto" w:fill="auto"/>
          </w:tcPr>
          <w:p w:rsidR="003A35FC" w:rsidRPr="001600DD" w:rsidRDefault="003A35FC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600DD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</w:tbl>
    <w:p w:rsidR="003A35FC" w:rsidRPr="009D73ED" w:rsidRDefault="003A35FC" w:rsidP="003A35FC">
      <w:pPr>
        <w:rPr>
          <w:rFonts w:ascii="Times New Roman" w:hAnsi="Times New Roman"/>
          <w:sz w:val="18"/>
          <w:szCs w:val="18"/>
        </w:rPr>
      </w:pPr>
      <w:r w:rsidRPr="00D371A5">
        <w:rPr>
          <w:rFonts w:ascii="Times New Roman" w:hAnsi="Times New Roman"/>
          <w:sz w:val="18"/>
          <w:szCs w:val="18"/>
        </w:rPr>
        <w:t>*Some information extracted from Yusuf et al. 2001 [PMID = 11519503].</w:t>
      </w:r>
      <w:r>
        <w:rPr>
          <w:rFonts w:ascii="Times New Roman" w:hAnsi="Times New Roman"/>
          <w:sz w:val="18"/>
          <w:szCs w:val="18"/>
        </w:rPr>
        <w:br/>
        <w:t>†</w:t>
      </w:r>
      <w:r w:rsidRPr="00D371A5">
        <w:rPr>
          <w:rFonts w:ascii="Times New Roman" w:hAnsi="Times New Roman"/>
          <w:sz w:val="18"/>
          <w:szCs w:val="18"/>
        </w:rPr>
        <w:t>Some information extracted from Connolly et al. 2009 [PMID = 19336502].</w:t>
      </w:r>
      <w:r>
        <w:rPr>
          <w:rFonts w:ascii="Times New Roman" w:hAnsi="Times New Roman"/>
          <w:sz w:val="18"/>
          <w:szCs w:val="18"/>
        </w:rPr>
        <w:br/>
        <w:t>‡</w:t>
      </w:r>
      <w:r w:rsidRPr="002F4D3F">
        <w:rPr>
          <w:rFonts w:ascii="Times New Roman" w:hAnsi="Times New Roman"/>
          <w:sz w:val="18"/>
          <w:szCs w:val="18"/>
        </w:rPr>
        <w:t>Some information extracted from Wiviott et al. 2007 [PMID = 17982182]</w:t>
      </w:r>
      <w:r>
        <w:rPr>
          <w:rFonts w:ascii="Times New Roman" w:hAnsi="Times New Roman"/>
          <w:sz w:val="18"/>
          <w:szCs w:val="18"/>
        </w:rPr>
        <w:br/>
        <w:t>§</w:t>
      </w:r>
      <w:r w:rsidRPr="002F4D3F">
        <w:rPr>
          <w:rFonts w:ascii="Times New Roman" w:hAnsi="Times New Roman"/>
          <w:sz w:val="18"/>
          <w:szCs w:val="18"/>
        </w:rPr>
        <w:t xml:space="preserve">Detailed information on the clopidogrel treated arm of the TRITON TIMI 38 trial was provided in Mega et al. 2009 [PMID = 19106084]; detailed information on the prasugrel </w:t>
      </w:r>
      <w:r w:rsidRPr="002F4D3F">
        <w:rPr>
          <w:rFonts w:ascii="Times New Roman" w:hAnsi="Times New Roman"/>
          <w:sz w:val="18"/>
          <w:szCs w:val="18"/>
        </w:rPr>
        <w:lastRenderedPageBreak/>
        <w:t>treated arm was provided in Mega et al. 2009 [PMID = 19414633]. Additional information was extracted from Wiviott et al. 2006 [PMID = 16996826] and Wiviott et al. 2007 [PMID = 17982182].</w:t>
      </w:r>
      <w:r>
        <w:rPr>
          <w:rFonts w:ascii="Times New Roman" w:hAnsi="Times New Roman"/>
          <w:sz w:val="18"/>
          <w:szCs w:val="18"/>
        </w:rPr>
        <w:br/>
        <w:t>**</w:t>
      </w:r>
      <w:r w:rsidRPr="002F4D3F">
        <w:rPr>
          <w:rFonts w:ascii="Times New Roman" w:hAnsi="Times New Roman"/>
          <w:sz w:val="18"/>
          <w:szCs w:val="18"/>
        </w:rPr>
        <w:t>Some information on the patient selection criteria and the treatments compared in the parent trial were extracted from Wiviott et al. 2007 [PMID = 17982182] and Wiviott et al. 2006 [PMID = 16996826].</w:t>
      </w:r>
      <w:r>
        <w:rPr>
          <w:rFonts w:ascii="Times New Roman" w:hAnsi="Times New Roman"/>
          <w:sz w:val="18"/>
          <w:szCs w:val="18"/>
        </w:rPr>
        <w:br/>
        <w:t>††</w:t>
      </w:r>
      <w:r w:rsidRPr="002F4D3F">
        <w:rPr>
          <w:rFonts w:ascii="Times New Roman" w:hAnsi="Times New Roman"/>
          <w:sz w:val="18"/>
          <w:szCs w:val="18"/>
        </w:rPr>
        <w:t>Some information extracted from Wallentin et al. 2008 [PMID = 18055486].</w:t>
      </w:r>
      <w:r>
        <w:rPr>
          <w:rFonts w:ascii="Times New Roman" w:hAnsi="Times New Roman"/>
          <w:sz w:val="18"/>
          <w:szCs w:val="18"/>
        </w:rPr>
        <w:br/>
        <w:t>‡‡</w:t>
      </w:r>
      <w:r w:rsidRPr="003F576E">
        <w:rPr>
          <w:rFonts w:ascii="Times New Roman" w:hAnsi="Times New Roman"/>
          <w:sz w:val="18"/>
          <w:szCs w:val="18"/>
        </w:rPr>
        <w:t>Some information extracted from Gurbel et al. 2008 [PMID = 19923168] and Gurbel et al. 2010 [PMID = 20194878].</w:t>
      </w:r>
      <w:r>
        <w:rPr>
          <w:rFonts w:ascii="Times New Roman" w:hAnsi="Times New Roman"/>
          <w:sz w:val="18"/>
          <w:szCs w:val="18"/>
        </w:rPr>
        <w:br/>
        <w:t>§§</w:t>
      </w:r>
      <w:r w:rsidRPr="003F576E">
        <w:rPr>
          <w:rFonts w:ascii="Times New Roman" w:hAnsi="Times New Roman"/>
          <w:sz w:val="18"/>
          <w:szCs w:val="18"/>
        </w:rPr>
        <w:t>Some information extracted from Jeong et al. 2010 [PMID = 20118150].</w:t>
      </w:r>
      <w:r>
        <w:rPr>
          <w:rFonts w:ascii="Times New Roman" w:hAnsi="Times New Roman"/>
          <w:sz w:val="18"/>
          <w:szCs w:val="18"/>
        </w:rPr>
        <w:br/>
        <w:t>***</w:t>
      </w:r>
      <w:r w:rsidRPr="00097059">
        <w:rPr>
          <w:rFonts w:ascii="Times New Roman" w:hAnsi="Times New Roman"/>
          <w:sz w:val="18"/>
          <w:szCs w:val="18"/>
        </w:rPr>
        <w:t>Some information extracted from Jeong et al. 2009 [PMID = 19324253].</w:t>
      </w:r>
      <w:r>
        <w:rPr>
          <w:rFonts w:ascii="Times New Roman" w:hAnsi="Times New Roman"/>
          <w:sz w:val="18"/>
          <w:szCs w:val="18"/>
        </w:rPr>
        <w:br/>
        <w:t>†††</w:t>
      </w:r>
      <w:r w:rsidRPr="003F576E">
        <w:rPr>
          <w:rFonts w:ascii="Times New Roman" w:hAnsi="Times New Roman"/>
          <w:sz w:val="18"/>
          <w:szCs w:val="18"/>
        </w:rPr>
        <w:t>Some information extracted from Gladding et al. 2008 [PMID = 19463374</w:t>
      </w:r>
      <w:r>
        <w:rPr>
          <w:rFonts w:ascii="Times New Roman" w:hAnsi="Times New Roman"/>
          <w:sz w:val="18"/>
          <w:szCs w:val="18"/>
        </w:rPr>
        <w:t>].</w:t>
      </w:r>
      <w:r>
        <w:rPr>
          <w:rFonts w:ascii="Times New Roman" w:hAnsi="Times New Roman"/>
          <w:sz w:val="18"/>
          <w:szCs w:val="18"/>
        </w:rPr>
        <w:br/>
        <w:t>‡‡‡</w:t>
      </w:r>
      <w:r w:rsidRPr="003F576E">
        <w:rPr>
          <w:rFonts w:ascii="Times New Roman" w:hAnsi="Times New Roman"/>
          <w:sz w:val="18"/>
          <w:szCs w:val="18"/>
        </w:rPr>
        <w:t>Some information extracted from Bhatt et al. 2006 [PMID = 16531616].</w:t>
      </w:r>
      <w:r>
        <w:rPr>
          <w:rFonts w:ascii="Times New Roman" w:hAnsi="Times New Roman"/>
          <w:sz w:val="18"/>
          <w:szCs w:val="18"/>
        </w:rPr>
        <w:br/>
      </w:r>
      <w:r w:rsidRPr="009D73ED">
        <w:rPr>
          <w:rFonts w:ascii="Times New Roman" w:hAnsi="Times New Roman"/>
          <w:b/>
          <w:sz w:val="18"/>
          <w:szCs w:val="18"/>
        </w:rPr>
        <w:t>Abbreviation:</w:t>
      </w:r>
      <w:r w:rsidRPr="009D73ED">
        <w:rPr>
          <w:rFonts w:ascii="Times New Roman" w:hAnsi="Times New Roman"/>
          <w:sz w:val="18"/>
          <w:szCs w:val="18"/>
        </w:rPr>
        <w:t xml:space="preserve"> RCT = randomized controlled trial.</w:t>
      </w:r>
    </w:p>
    <w:p w:rsidR="003A35FC" w:rsidRPr="003F576E" w:rsidRDefault="003A35FC" w:rsidP="003A35FC">
      <w:pPr>
        <w:rPr>
          <w:rFonts w:ascii="Times New Roman" w:hAnsi="Times New Roman"/>
          <w:b/>
          <w:sz w:val="18"/>
          <w:szCs w:val="18"/>
          <w:u w:val="single"/>
        </w:rPr>
      </w:pPr>
    </w:p>
    <w:p w:rsidR="003A35FC" w:rsidRPr="003F576E" w:rsidRDefault="003A35FC" w:rsidP="003A35FC">
      <w:pPr>
        <w:rPr>
          <w:rFonts w:ascii="Times New Roman" w:hAnsi="Times New Roman"/>
          <w:b/>
          <w:sz w:val="18"/>
          <w:szCs w:val="18"/>
          <w:u w:val="single"/>
        </w:rPr>
      </w:pPr>
      <w:r w:rsidRPr="003F576E">
        <w:rPr>
          <w:rFonts w:ascii="Times New Roman" w:hAnsi="Times New Roman"/>
          <w:b/>
          <w:sz w:val="18"/>
          <w:szCs w:val="18"/>
          <w:u w:val="single"/>
        </w:rPr>
        <w:t>Quality items</w:t>
      </w:r>
    </w:p>
    <w:p w:rsidR="003A35FC" w:rsidRPr="003F576E" w:rsidRDefault="003A35FC" w:rsidP="003A35FC">
      <w:pPr>
        <w:keepNext/>
        <w:rPr>
          <w:rFonts w:ascii="Times New Roman" w:hAnsi="Times New Roman"/>
          <w:sz w:val="18"/>
          <w:szCs w:val="18"/>
        </w:rPr>
      </w:pPr>
      <w:r w:rsidRPr="003F576E">
        <w:rPr>
          <w:rFonts w:ascii="Times New Roman" w:hAnsi="Times New Roman"/>
          <w:sz w:val="18"/>
          <w:szCs w:val="18"/>
        </w:rPr>
        <w:t>Q1: Consecutive sample of patients enrolled</w:t>
      </w:r>
    </w:p>
    <w:p w:rsidR="003A35FC" w:rsidRPr="003F576E" w:rsidRDefault="003A35FC" w:rsidP="003A35FC">
      <w:pPr>
        <w:keepNext/>
        <w:rPr>
          <w:rFonts w:ascii="Times New Roman" w:hAnsi="Times New Roman"/>
          <w:sz w:val="18"/>
          <w:szCs w:val="18"/>
        </w:rPr>
      </w:pPr>
      <w:r w:rsidRPr="003F576E">
        <w:rPr>
          <w:rFonts w:ascii="Times New Roman" w:hAnsi="Times New Roman"/>
          <w:sz w:val="18"/>
          <w:szCs w:val="18"/>
        </w:rPr>
        <w:t>Q2: Case-control design avoided</w:t>
      </w:r>
    </w:p>
    <w:p w:rsidR="003A35FC" w:rsidRPr="003F576E" w:rsidRDefault="003A35FC" w:rsidP="003A35FC">
      <w:pPr>
        <w:keepNext/>
        <w:rPr>
          <w:rFonts w:ascii="Times New Roman" w:hAnsi="Times New Roman"/>
          <w:sz w:val="18"/>
          <w:szCs w:val="18"/>
        </w:rPr>
      </w:pPr>
      <w:r w:rsidRPr="003F576E">
        <w:rPr>
          <w:rFonts w:ascii="Times New Roman" w:hAnsi="Times New Roman"/>
          <w:sz w:val="18"/>
          <w:szCs w:val="18"/>
        </w:rPr>
        <w:t>Q3: Study avoided inappropriate exclusions and post-hoc exclusions were &lt;5%</w:t>
      </w:r>
    </w:p>
    <w:p w:rsidR="003A35FC" w:rsidRPr="003F576E" w:rsidRDefault="003A35FC" w:rsidP="003A35FC">
      <w:pPr>
        <w:keepNext/>
        <w:rPr>
          <w:rFonts w:ascii="Times New Roman" w:hAnsi="Times New Roman"/>
          <w:sz w:val="18"/>
          <w:szCs w:val="18"/>
        </w:rPr>
      </w:pPr>
      <w:r w:rsidRPr="003F576E">
        <w:rPr>
          <w:rFonts w:ascii="Times New Roman" w:hAnsi="Times New Roman"/>
          <w:sz w:val="18"/>
          <w:szCs w:val="18"/>
        </w:rPr>
        <w:t>Q4: Index test results interpreted without knowledge of outcomes?</w:t>
      </w:r>
    </w:p>
    <w:p w:rsidR="003A35FC" w:rsidRPr="003F576E" w:rsidRDefault="003A35FC" w:rsidP="003A35FC">
      <w:pPr>
        <w:keepNext/>
        <w:rPr>
          <w:rFonts w:ascii="Times New Roman" w:hAnsi="Times New Roman"/>
          <w:sz w:val="18"/>
          <w:szCs w:val="18"/>
        </w:rPr>
      </w:pPr>
      <w:r w:rsidRPr="003F576E">
        <w:rPr>
          <w:rFonts w:ascii="Times New Roman" w:hAnsi="Times New Roman"/>
          <w:sz w:val="18"/>
          <w:szCs w:val="18"/>
        </w:rPr>
        <w:t>Q5: If a test threshold was used, was it prespecified?</w:t>
      </w:r>
    </w:p>
    <w:p w:rsidR="003A35FC" w:rsidRPr="003F576E" w:rsidRDefault="003A35FC" w:rsidP="003A35FC">
      <w:pPr>
        <w:keepNext/>
        <w:rPr>
          <w:rFonts w:ascii="Times New Roman" w:hAnsi="Times New Roman"/>
          <w:sz w:val="18"/>
          <w:szCs w:val="18"/>
        </w:rPr>
      </w:pPr>
      <w:r w:rsidRPr="003F576E">
        <w:rPr>
          <w:rFonts w:ascii="Times New Roman" w:hAnsi="Times New Roman"/>
          <w:sz w:val="18"/>
          <w:szCs w:val="18"/>
        </w:rPr>
        <w:t>Q6: Reference standard likely to correctly classify the target condition (low if at least one clinical outcome assessed)?</w:t>
      </w:r>
    </w:p>
    <w:p w:rsidR="003A35FC" w:rsidRPr="003F576E" w:rsidRDefault="003A35FC" w:rsidP="003A35FC">
      <w:pPr>
        <w:keepNext/>
        <w:rPr>
          <w:rFonts w:ascii="Times New Roman" w:hAnsi="Times New Roman"/>
          <w:sz w:val="18"/>
          <w:szCs w:val="18"/>
        </w:rPr>
      </w:pPr>
      <w:r w:rsidRPr="003F576E">
        <w:rPr>
          <w:rFonts w:ascii="Times New Roman" w:hAnsi="Times New Roman"/>
          <w:sz w:val="18"/>
          <w:szCs w:val="18"/>
        </w:rPr>
        <w:t>Q7: Reference standard results interpreted without knowledge of index test results?</w:t>
      </w:r>
    </w:p>
    <w:p w:rsidR="003A35FC" w:rsidRPr="003F576E" w:rsidRDefault="003A35FC" w:rsidP="003A35FC">
      <w:pPr>
        <w:keepNext/>
        <w:rPr>
          <w:rFonts w:ascii="Times New Roman" w:hAnsi="Times New Roman"/>
          <w:sz w:val="18"/>
          <w:szCs w:val="18"/>
        </w:rPr>
      </w:pPr>
      <w:r w:rsidRPr="003F576E">
        <w:rPr>
          <w:rFonts w:ascii="Times New Roman" w:hAnsi="Times New Roman"/>
          <w:sz w:val="18"/>
          <w:szCs w:val="18"/>
        </w:rPr>
        <w:t>Q8: Appropriate interval between index test and reference standard (at least 12 mo of followup)?</w:t>
      </w:r>
    </w:p>
    <w:p w:rsidR="003A35FC" w:rsidRPr="003F576E" w:rsidRDefault="003A35FC" w:rsidP="003A35FC">
      <w:pPr>
        <w:keepNext/>
        <w:rPr>
          <w:rFonts w:ascii="Times New Roman" w:hAnsi="Times New Roman"/>
          <w:sz w:val="18"/>
          <w:szCs w:val="18"/>
        </w:rPr>
      </w:pPr>
      <w:r w:rsidRPr="003F576E">
        <w:rPr>
          <w:rFonts w:ascii="Times New Roman" w:hAnsi="Times New Roman"/>
          <w:sz w:val="18"/>
          <w:szCs w:val="18"/>
        </w:rPr>
        <w:t>Q9: All patients received a reference standard (outcome data for &gt;90% of patients)?</w:t>
      </w:r>
    </w:p>
    <w:p w:rsidR="003A35FC" w:rsidRPr="003F576E" w:rsidRDefault="003A35FC" w:rsidP="003A35FC">
      <w:pPr>
        <w:keepNext/>
        <w:rPr>
          <w:rFonts w:ascii="Times New Roman" w:hAnsi="Times New Roman"/>
          <w:sz w:val="18"/>
          <w:szCs w:val="18"/>
        </w:rPr>
      </w:pPr>
      <w:r w:rsidRPr="003F576E">
        <w:rPr>
          <w:rFonts w:ascii="Times New Roman" w:hAnsi="Times New Roman"/>
          <w:sz w:val="18"/>
          <w:szCs w:val="18"/>
        </w:rPr>
        <w:t>Q10: All patients received the same reference standard?</w:t>
      </w:r>
    </w:p>
    <w:p w:rsidR="003A35FC" w:rsidRPr="003F576E" w:rsidRDefault="003A35FC" w:rsidP="003A35FC">
      <w:pPr>
        <w:rPr>
          <w:rFonts w:ascii="Times New Roman" w:hAnsi="Times New Roman"/>
          <w:sz w:val="18"/>
          <w:szCs w:val="18"/>
        </w:rPr>
      </w:pPr>
      <w:r w:rsidRPr="003F576E">
        <w:rPr>
          <w:rFonts w:ascii="Times New Roman" w:hAnsi="Times New Roman"/>
          <w:sz w:val="18"/>
          <w:szCs w:val="18"/>
        </w:rPr>
        <w:t>Q11: Random sequence generation</w:t>
      </w:r>
    </w:p>
    <w:p w:rsidR="003A35FC" w:rsidRPr="003F576E" w:rsidRDefault="003A35FC" w:rsidP="003A35FC">
      <w:pPr>
        <w:rPr>
          <w:rFonts w:ascii="Times New Roman" w:hAnsi="Times New Roman"/>
          <w:sz w:val="18"/>
          <w:szCs w:val="18"/>
        </w:rPr>
      </w:pPr>
      <w:r w:rsidRPr="003F576E">
        <w:rPr>
          <w:rFonts w:ascii="Times New Roman" w:hAnsi="Times New Roman"/>
          <w:sz w:val="18"/>
          <w:szCs w:val="18"/>
        </w:rPr>
        <w:t>Q12: Allocation concealment</w:t>
      </w:r>
    </w:p>
    <w:p w:rsidR="003A35FC" w:rsidRPr="003F576E" w:rsidRDefault="003A35FC" w:rsidP="003A35FC">
      <w:pPr>
        <w:rPr>
          <w:rFonts w:ascii="Times New Roman" w:hAnsi="Times New Roman"/>
          <w:sz w:val="18"/>
          <w:szCs w:val="18"/>
        </w:rPr>
      </w:pPr>
      <w:r w:rsidRPr="003F576E">
        <w:rPr>
          <w:rFonts w:ascii="Times New Roman" w:hAnsi="Times New Roman"/>
          <w:sz w:val="18"/>
          <w:szCs w:val="18"/>
        </w:rPr>
        <w:t>Q13: Blinding of participants and personnel</w:t>
      </w:r>
    </w:p>
    <w:p w:rsidR="003A35FC" w:rsidRPr="003F576E" w:rsidRDefault="003A35FC" w:rsidP="003A35FC">
      <w:pPr>
        <w:rPr>
          <w:rFonts w:ascii="Times New Roman" w:hAnsi="Times New Roman"/>
          <w:sz w:val="18"/>
          <w:szCs w:val="18"/>
        </w:rPr>
      </w:pPr>
      <w:r w:rsidRPr="003F576E">
        <w:rPr>
          <w:rFonts w:ascii="Times New Roman" w:hAnsi="Times New Roman"/>
          <w:sz w:val="18"/>
          <w:szCs w:val="18"/>
        </w:rPr>
        <w:t>Q14: Blinding of outcome assessment</w:t>
      </w:r>
    </w:p>
    <w:p w:rsidR="003A35FC" w:rsidRPr="003F576E" w:rsidRDefault="003A35FC" w:rsidP="003A35FC">
      <w:pPr>
        <w:rPr>
          <w:rFonts w:ascii="Times New Roman" w:hAnsi="Times New Roman"/>
          <w:sz w:val="18"/>
          <w:szCs w:val="18"/>
        </w:rPr>
      </w:pPr>
      <w:r w:rsidRPr="003F576E">
        <w:rPr>
          <w:rFonts w:ascii="Times New Roman" w:hAnsi="Times New Roman"/>
          <w:sz w:val="18"/>
          <w:szCs w:val="18"/>
        </w:rPr>
        <w:t>Q15: Incomplete outcome data (do they report enough data to estimate uncertainty for the primary outcome)</w:t>
      </w:r>
    </w:p>
    <w:p w:rsidR="003A35FC" w:rsidRPr="003F576E" w:rsidRDefault="003A35FC" w:rsidP="003A35FC">
      <w:pPr>
        <w:rPr>
          <w:rFonts w:ascii="Times New Roman" w:hAnsi="Times New Roman"/>
          <w:sz w:val="18"/>
          <w:szCs w:val="18"/>
        </w:rPr>
      </w:pPr>
      <w:r w:rsidRPr="003F576E">
        <w:rPr>
          <w:rFonts w:ascii="Times New Roman" w:hAnsi="Times New Roman"/>
          <w:sz w:val="18"/>
          <w:szCs w:val="18"/>
        </w:rPr>
        <w:t>Q16: Selective reporting bias (do they report numerical results on the primary and secondary outcome; and are these identified in the methods)</w:t>
      </w:r>
    </w:p>
    <w:p w:rsidR="003A35FC" w:rsidRPr="003F576E" w:rsidRDefault="003A35FC" w:rsidP="003A35FC">
      <w:pPr>
        <w:rPr>
          <w:rFonts w:ascii="Times New Roman" w:hAnsi="Times New Roman"/>
          <w:sz w:val="18"/>
          <w:szCs w:val="18"/>
        </w:rPr>
      </w:pPr>
      <w:r w:rsidRPr="003F576E">
        <w:rPr>
          <w:rFonts w:ascii="Times New Roman" w:hAnsi="Times New Roman"/>
          <w:sz w:val="18"/>
          <w:szCs w:val="18"/>
        </w:rPr>
        <w:t>Q17: Other bias (e.g., extreme numerical errors and inconsistencies)</w:t>
      </w:r>
    </w:p>
    <w:p w:rsidR="00E60974" w:rsidRPr="003A35FC" w:rsidRDefault="00E60974" w:rsidP="003A35FC">
      <w:bookmarkStart w:id="0" w:name="_GoBack"/>
      <w:bookmarkEnd w:id="0"/>
    </w:p>
    <w:sectPr w:rsidR="00E60974" w:rsidRPr="003A35FC" w:rsidSect="001934A5">
      <w:footerReference w:type="default" r:id="rId8"/>
      <w:footnotePr>
        <w:numFmt w:val="lowerLetter"/>
        <w:numRestart w:val="eachSect"/>
      </w:footnotePr>
      <w:type w:val="continuous"/>
      <w:pgSz w:w="15840" w:h="12240" w:orient="landscape"/>
      <w:pgMar w:top="1440" w:right="1440" w:bottom="144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936" w:rsidRDefault="00E23936" w:rsidP="00FC3BBE">
      <w:r>
        <w:separator/>
      </w:r>
    </w:p>
  </w:endnote>
  <w:endnote w:type="continuationSeparator" w:id="0">
    <w:p w:rsidR="00E23936" w:rsidRDefault="00E23936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4C2C4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F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3A35FC">
          <w:rPr>
            <w:rFonts w:ascii="Times New Roman" w:hAnsi="Times New Roman"/>
            <w:noProof/>
            <w:sz w:val="24"/>
            <w:szCs w:val="24"/>
          </w:rPr>
          <w:t>6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936" w:rsidRDefault="00E23936" w:rsidP="00FC3BBE">
      <w:r>
        <w:separator/>
      </w:r>
    </w:p>
  </w:footnote>
  <w:footnote w:type="continuationSeparator" w:id="0">
    <w:p w:rsidR="00E23936" w:rsidRDefault="00E23936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34A5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35FC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2C4D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B6903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23936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85661F16-F6B7-4EAE-84A0-B246D370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A1116-32EB-4EC9-BD95-FA76642E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Lathrop, Stacy (NIH/NLM/NCBI) [C]</cp:lastModifiedBy>
  <cp:revision>5</cp:revision>
  <cp:lastPrinted>2013-09-19T14:49:00Z</cp:lastPrinted>
  <dcterms:created xsi:type="dcterms:W3CDTF">2013-09-27T03:34:00Z</dcterms:created>
  <dcterms:modified xsi:type="dcterms:W3CDTF">2014-08-21T17:33:00Z</dcterms:modified>
</cp:coreProperties>
</file>