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>Appendix Table E94</w:t>
      </w:r>
      <w:r>
        <w:rPr>
          <w:rFonts w:ascii="Arial" w:hAnsi="Arial" w:cs="Arial"/>
          <w:b/>
          <w:sz w:val="20"/>
        </w:rPr>
        <w:t>.</w:t>
      </w:r>
      <w:r w:rsidRPr="0069565C">
        <w:rPr>
          <w:rFonts w:ascii="Arial" w:hAnsi="Arial" w:cs="Arial"/>
          <w:b/>
          <w:sz w:val="20"/>
        </w:rPr>
        <w:t xml:space="preserve"> Phenotypic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est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etails in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PFA-100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3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68"/>
        <w:gridCol w:w="1506"/>
        <w:gridCol w:w="1571"/>
        <w:gridCol w:w="2772"/>
        <w:gridCol w:w="1970"/>
        <w:gridCol w:w="1878"/>
        <w:gridCol w:w="2345"/>
      </w:tblGrid>
      <w:tr w:rsidR="00E60974" w:rsidRPr="00C26ED4" w:rsidTr="00C26ED4">
        <w:trPr>
          <w:cantSplit/>
          <w:tblHeader/>
          <w:jc w:val="center"/>
        </w:trPr>
        <w:tc>
          <w:tcPr>
            <w:tcW w:w="117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ED4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ED4">
              <w:rPr>
                <w:rFonts w:ascii="Arial" w:hAnsi="Arial" w:cs="Arial"/>
                <w:b/>
                <w:sz w:val="16"/>
                <w:szCs w:val="16"/>
              </w:rPr>
              <w:t>UID</w:t>
            </w:r>
          </w:p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ED4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ED4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ED4">
              <w:rPr>
                <w:rFonts w:ascii="Arial" w:hAnsi="Arial" w:cs="Arial"/>
                <w:b/>
                <w:sz w:val="16"/>
                <w:szCs w:val="16"/>
              </w:rPr>
              <w:t xml:space="preserve">Test/Device name </w:t>
            </w:r>
          </w:p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ED4">
              <w:rPr>
                <w:rFonts w:ascii="Arial" w:hAnsi="Arial" w:cs="Arial"/>
                <w:b/>
                <w:sz w:val="16"/>
                <w:szCs w:val="16"/>
              </w:rPr>
              <w:t>Device category Device name &amp; manufacturer*</w:t>
            </w:r>
          </w:p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ED4">
              <w:rPr>
                <w:rFonts w:ascii="Arial" w:hAnsi="Arial" w:cs="Arial"/>
                <w:b/>
                <w:sz w:val="16"/>
                <w:szCs w:val="16"/>
              </w:rPr>
              <w:t>Agonist used</w:t>
            </w:r>
          </w:p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ED4">
              <w:rPr>
                <w:rFonts w:ascii="Arial" w:hAnsi="Arial" w:cs="Arial"/>
                <w:b/>
                <w:sz w:val="16"/>
                <w:szCs w:val="16"/>
              </w:rPr>
              <w:t>Sample Collection and Procurement</w:t>
            </w:r>
          </w:p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ED4">
              <w:rPr>
                <w:rFonts w:ascii="Arial" w:hAnsi="Arial" w:cs="Arial"/>
                <w:b/>
                <w:sz w:val="16"/>
                <w:szCs w:val="16"/>
              </w:rPr>
              <w:t>Anticoagulant used</w:t>
            </w:r>
          </w:p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ED4">
              <w:rPr>
                <w:rFonts w:ascii="Arial" w:hAnsi="Arial" w:cs="Arial"/>
                <w:b/>
                <w:sz w:val="16"/>
                <w:szCs w:val="16"/>
              </w:rPr>
              <w:t xml:space="preserve">Interval between clopidogrel doses and blood sampling  (in days) </w:t>
            </w:r>
          </w:p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ED4">
              <w:rPr>
                <w:rFonts w:ascii="Arial" w:hAnsi="Arial" w:cs="Arial"/>
                <w:b/>
                <w:sz w:val="16"/>
                <w:szCs w:val="16"/>
              </w:rPr>
              <w:t>Interval between sampling and testing (in days):</w:t>
            </w:r>
          </w:p>
        </w:tc>
        <w:tc>
          <w:tcPr>
            <w:tcW w:w="198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ED4">
              <w:rPr>
                <w:rFonts w:ascii="Arial" w:hAnsi="Arial" w:cs="Arial"/>
                <w:b/>
                <w:sz w:val="16"/>
                <w:szCs w:val="16"/>
              </w:rPr>
              <w:t xml:space="preserve">Grouping of Phenotypes** [Definition] </w:t>
            </w:r>
          </w:p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ED4">
              <w:rPr>
                <w:rFonts w:ascii="Arial" w:hAnsi="Arial" w:cs="Arial"/>
                <w:b/>
                <w:sz w:val="16"/>
                <w:szCs w:val="16"/>
              </w:rPr>
              <w:t xml:space="preserve">Rational for the grouping of phenotypes reported (Yes/No) </w:t>
            </w:r>
          </w:p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ED4">
              <w:rPr>
                <w:rFonts w:ascii="Arial" w:hAnsi="Arial" w:cs="Arial"/>
                <w:b/>
                <w:sz w:val="16"/>
                <w:szCs w:val="16"/>
              </w:rPr>
              <w:t>[short description]</w:t>
            </w:r>
          </w:p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ED4">
              <w:rPr>
                <w:rFonts w:ascii="Arial" w:hAnsi="Arial" w:cs="Arial"/>
                <w:b/>
                <w:sz w:val="16"/>
                <w:szCs w:val="16"/>
              </w:rPr>
              <w:t xml:space="preserve">Frequency of phenotypes </w:t>
            </w:r>
          </w:p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26ED4" w:rsidTr="00C26ED4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Malek,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2007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17295159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Poland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Platelet function analysis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PFA-100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point-of-care device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– PFA-100; Dade Behring, Germany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27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sample collected after the acute phase of ACS (2-9 days after admission)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3.2% sodium citrate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C26ED4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Group 1 with CADP-CT&lt;104 s group 2 with CEPI-CT &lt;190 s group 3 with CADP CT &lt;104 s and CEPI-CT &lt;190 s both CT values above the cut-off limits </w:t>
            </w:r>
          </w:p>
        </w:tc>
        <w:tc>
          <w:tcPr>
            <w:tcW w:w="18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not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 xml:space="preserve"> explicitly reported.</w:t>
            </w:r>
          </w:p>
        </w:tc>
        <w:tc>
          <w:tcPr>
            <w:tcW w:w="2360" w:type="dxa"/>
            <w:shd w:val="clear" w:color="auto" w:fill="auto"/>
          </w:tcPr>
          <w:p w:rsidR="00E60974" w:rsidRPr="00C26ED4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Group </w:t>
            </w: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1  (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 xml:space="preserve">n=10, 11%), </w:t>
            </w:r>
          </w:p>
          <w:p w:rsidR="00E60974" w:rsidRPr="00C26ED4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group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 xml:space="preserve"> 2 (n=10, 11%), </w:t>
            </w:r>
          </w:p>
          <w:p w:rsidR="00E60974" w:rsidRPr="00C26ED4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group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 xml:space="preserve"> 3 ( n=9, 9.9%) </w:t>
            </w:r>
          </w:p>
          <w:p w:rsidR="00E60974" w:rsidRPr="00C26ED4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 xml:space="preserve"> control group (n=62, 68.1%).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C26ED4" w:rsidTr="00C26ED4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Breet, 2010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POPULAR 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PFA 100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the Dade PFA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collagen/ADP test cartridge(PFA-100system)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Siemens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Healthcare Diagnostics Products GmbH,Marburg, Germany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27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3.8% buffered citrated blood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2 hours </w:t>
            </w:r>
          </w:p>
        </w:tc>
        <w:tc>
          <w:tcPr>
            <w:tcW w:w="198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PFA ≤147 seconds</w:t>
            </w:r>
          </w:p>
        </w:tc>
        <w:tc>
          <w:tcPr>
            <w:tcW w:w="18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Based on ROC curve</w:t>
            </w:r>
          </w:p>
        </w:tc>
        <w:tc>
          <w:tcPr>
            <w:tcW w:w="236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C26ED4" w:rsidTr="00C26ED4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Breet, 2010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POPULAR 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INNOVANCE® PFA P2Y*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ADP, PGE1, calcium</w:t>
            </w:r>
          </w:p>
        </w:tc>
        <w:tc>
          <w:tcPr>
            <w:tcW w:w="27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3.8% buffered citrated blood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2 hours </w:t>
            </w:r>
          </w:p>
        </w:tc>
        <w:tc>
          <w:tcPr>
            <w:tcW w:w="198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PFA ≤59 seconds</w:t>
            </w:r>
          </w:p>
        </w:tc>
        <w:tc>
          <w:tcPr>
            <w:tcW w:w="18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Based on ROC curve</w:t>
            </w:r>
          </w:p>
        </w:tc>
        <w:tc>
          <w:tcPr>
            <w:tcW w:w="236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C26ED4" w:rsidTr="00C26ED4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lastRenderedPageBreak/>
              <w:t>Foussas,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2007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17892990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PFA-100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Closure time 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Dade-Behring, Collagen+ADP or epiephrine Marburg, Germany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Collagen+ADP or epiephrine</w:t>
            </w:r>
          </w:p>
        </w:tc>
        <w:tc>
          <w:tcPr>
            <w:tcW w:w="27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Blood samples obtained after femoral or brachial arterial sheath insertion in the catheterization laboratory. After rejection of the first few milliliters, blood for PFA-100 analysis was collected into tubes.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The time required to occlude the aperture is automatically reported as the closure time (CT). Measurements are terminated after ≤300 seconds.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citrate 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Aspirin+clopidogrel loading done &gt;12 hr before stenting; mean/SD 37.4/23.5 hr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within 1 hour</w:t>
            </w:r>
          </w:p>
        </w:tc>
        <w:tc>
          <w:tcPr>
            <w:tcW w:w="1980" w:type="dxa"/>
            <w:shd w:val="clear" w:color="auto" w:fill="auto"/>
          </w:tcPr>
          <w:p w:rsidR="00E60974" w:rsidRPr="00C26ED4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CEPI-CT &gt;193 sec </w:t>
            </w:r>
          </w:p>
          <w:p w:rsidR="00E60974" w:rsidRPr="00C26ED4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(responders)</w:t>
            </w:r>
          </w:p>
          <w:p w:rsidR="00E60974" w:rsidRPr="00C26ED4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CEPI-CT ≤193 sec (nonresponders)</w:t>
            </w:r>
          </w:p>
        </w:tc>
        <w:tc>
          <w:tcPr>
            <w:tcW w:w="18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2360" w:type="dxa"/>
            <w:shd w:val="clear" w:color="auto" w:fill="auto"/>
          </w:tcPr>
          <w:p w:rsidR="00E60974" w:rsidRPr="00C26ED4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CEPI-CT &gt;193 </w:t>
            </w: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sec  489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 xml:space="preserve"> (79.9%)</w:t>
            </w:r>
          </w:p>
          <w:p w:rsidR="00E60974" w:rsidRPr="00C26ED4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(responders)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CEPI-CT ≤193 sec (nonresponders) 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123 (20.1%)</w:t>
            </w:r>
          </w:p>
        </w:tc>
      </w:tr>
      <w:tr w:rsidR="00E60974" w:rsidRPr="00C26ED4" w:rsidTr="00C26ED4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Smit,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20889993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ON-TIME-2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PFA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Platelet function analyser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PFA-100/ Dade Behring, Marburg, Germany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2 mg type I collagen with either 50 mg epinephrine bi-tartrate (col-EPI) or 50 mg ADP (col-ADP)</w:t>
            </w:r>
          </w:p>
        </w:tc>
        <w:tc>
          <w:tcPr>
            <w:tcW w:w="27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Whole blood; collected before PCI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Clopidogrel came first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quartiles 1-4</w:t>
            </w:r>
          </w:p>
        </w:tc>
        <w:tc>
          <w:tcPr>
            <w:tcW w:w="18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Not explicitly reported</w:t>
            </w:r>
          </w:p>
        </w:tc>
        <w:tc>
          <w:tcPr>
            <w:tcW w:w="236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quartiles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 xml:space="preserve"> 1  162 (25%)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quartiles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 xml:space="preserve"> 2  162 (25%)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quartiles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 xml:space="preserve"> 3  162 (25%)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quartiles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 xml:space="preserve"> 4  162 (25%)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C26ED4" w:rsidTr="00C26ED4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lastRenderedPageBreak/>
              <w:t>Huczek,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2008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18301358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Poland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PFA-100 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PFA-100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Dade Behring, Newark, Delaware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epinephrine and collagen (for Thromboxane A2 pathway) and ADP and collagen (for ADP-dependent pathway)</w:t>
            </w:r>
          </w:p>
        </w:tc>
        <w:tc>
          <w:tcPr>
            <w:tcW w:w="27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 Venous blood; day 3 &amp; 30 after stenting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3.8% buffered sodium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citrate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0.08 days (2 hours)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Clopidogrel came first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0.02-0.04 days (0.5-1 hr)</w:t>
            </w:r>
          </w:p>
        </w:tc>
        <w:tc>
          <w:tcPr>
            <w:tcW w:w="198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group I (CEPI-CT ≥193 seconds and CADP-CT ≥130 seconds, i.e.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complete platelet function inhibition)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Group II (either CEPI-CT&lt;193 seconds or CADP-CT&lt;130 seconds, i.e. partial platelet function inhibition)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Group III (CEPI-CT&lt;193 seconds and CADP-CT&lt;130 seconds, i.e. no platelet function inhibition).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Previously published information</w:t>
            </w:r>
          </w:p>
        </w:tc>
        <w:tc>
          <w:tcPr>
            <w:tcW w:w="2360" w:type="dxa"/>
            <w:shd w:val="clear" w:color="auto" w:fill="auto"/>
          </w:tcPr>
          <w:p w:rsidR="00E60974" w:rsidRPr="00C26ED4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group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 xml:space="preserve"> I  67 (53.6%)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Group </w:t>
            </w: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II  21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>(16.8%)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Group III 37 (29.6%)</w:t>
            </w:r>
          </w:p>
        </w:tc>
      </w:tr>
      <w:tr w:rsidR="00E60974" w:rsidRPr="00C26ED4" w:rsidTr="00C26ED4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Moerenhout,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20211306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Belgium 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PFA-100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platelet function analyzer (PFA-100 C/ADP)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Collagen and ADP</w:t>
            </w:r>
          </w:p>
        </w:tc>
        <w:tc>
          <w:tcPr>
            <w:tcW w:w="27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blood before PCI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0.5 days (12 hrs) 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Clopidogrel came first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nonresponder (PFA value &lt;71 seconds)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responder (PFA value &gt;71 seconds)</w:t>
            </w:r>
          </w:p>
        </w:tc>
        <w:tc>
          <w:tcPr>
            <w:tcW w:w="1890" w:type="dxa"/>
            <w:shd w:val="clear" w:color="auto" w:fill="auto"/>
          </w:tcPr>
          <w:p w:rsidR="00E60974" w:rsidRPr="00C26ED4" w:rsidRDefault="00E60974" w:rsidP="005E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236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 xml:space="preserve"> (PFA value &lt;71 seconds) 17 (7%)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responder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 xml:space="preserve"> (PFA value &gt;71 seconds) 225 (93%)</w:t>
            </w:r>
          </w:p>
        </w:tc>
      </w:tr>
      <w:tr w:rsidR="00E60974" w:rsidRPr="00C26ED4" w:rsidTr="00C26ED4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26ED4">
              <w:rPr>
                <w:rFonts w:ascii="Arial" w:hAnsi="Arial" w:cs="Arial"/>
                <w:sz w:val="16"/>
                <w:szCs w:val="16"/>
                <w:lang w:val="es-ES_tradnl"/>
              </w:rPr>
              <w:t>Siller-Matula,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26ED4">
              <w:rPr>
                <w:rFonts w:ascii="Arial" w:hAnsi="Arial" w:cs="Arial"/>
                <w:sz w:val="16"/>
                <w:szCs w:val="16"/>
                <w:lang w:val="es-ES_tradnl"/>
              </w:rPr>
              <w:t>2009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19135705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PFA-100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PFA-100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Dade Behring, Marburg, Germany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collagen and adenosine diphosphate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(ADP)</w:t>
            </w:r>
          </w:p>
        </w:tc>
        <w:tc>
          <w:tcPr>
            <w:tcW w:w="27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1st blood sample: in catheterization laboratory, after PCI and after 250 mg IV aspirin 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2nd blood sample: 20</w:t>
            </w:r>
            <w:r w:rsidRPr="00C26ED4">
              <w:rPr>
                <w:rFonts w:ascii="Arial" w:hAnsi="Arial" w:cs="Arial"/>
                <w:sz w:val="16"/>
                <w:szCs w:val="16"/>
              </w:rPr>
              <w:noBreakHyphen/>
              <w:t>24 hours after PCI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3.8% citrate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Clopidogrel came first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0.04 days (1 hour)</w:t>
            </w:r>
          </w:p>
        </w:tc>
        <w:tc>
          <w:tcPr>
            <w:tcW w:w="198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Collagen ADP closure time between 65-120 s by PFA-100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Collagen ADP closure time between &lt;65 s &amp; &gt;120 s by PFA-100</w:t>
            </w:r>
          </w:p>
        </w:tc>
        <w:tc>
          <w:tcPr>
            <w:tcW w:w="18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Normal ranges as reported by manufacturer</w:t>
            </w:r>
          </w:p>
        </w:tc>
        <w:tc>
          <w:tcPr>
            <w:tcW w:w="236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Collagen ADP closure time between 65-120 s by PFA-</w:t>
            </w: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100 ;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 xml:space="preserve"> 20 (67%)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Collagen ADP closure time between &lt;65 s &amp; &gt;120 s by PFA-100; 10 (33%)</w:t>
            </w:r>
          </w:p>
        </w:tc>
      </w:tr>
      <w:tr w:rsidR="00E60974" w:rsidRPr="00C26ED4" w:rsidTr="00C26ED4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lastRenderedPageBreak/>
              <w:t>Gori,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2008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19132241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Italy 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RECLOSE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PFA-100 system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Dade-Behring, Marburg, Germany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Collagen/epinephrine or collage/ADP</w:t>
            </w:r>
          </w:p>
        </w:tc>
        <w:tc>
          <w:tcPr>
            <w:tcW w:w="27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Platelet reactivity measured 12 to 18 hr after clopidogrel loading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citrate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For patients receiving in the catheterization laboratory both the loading dose of clopidogrel and </w:t>
            </w: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 xml:space="preserve"> IIb/IIIa inhibitor, blood samples were obtained after six days while the patient was on the 75-mg maintenance dose of clopidogrel.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RPR by CEPI PFA-100 (&lt;203 sec)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No RPR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Patients at high risk for adverse events: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RPR by CEPI PFA-100 (&lt;238 sec)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RPR by CADP PFA-100.(&lt;105 sec)</w:t>
            </w:r>
          </w:p>
        </w:tc>
        <w:tc>
          <w:tcPr>
            <w:tcW w:w="18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previous literature </w:t>
            </w:r>
          </w:p>
        </w:tc>
        <w:tc>
          <w:tcPr>
            <w:tcW w:w="236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RPR by CEPI PFA-100 (&lt;203 sec)</w:t>
            </w: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;133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 xml:space="preserve">/746 (18%) 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No RPR; 613/746 (82%)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RPR by CEPI PFA-100 (&lt;238 sec</w:t>
            </w: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) :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>238/746 (32%)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RPR by CADP PFA-100</w:t>
            </w: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.(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>&lt;105 sec) :196/398 (49%)</w:t>
            </w:r>
          </w:p>
        </w:tc>
      </w:tr>
      <w:tr w:rsidR="00E60974" w:rsidRPr="00C26ED4" w:rsidTr="00C26ED4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26ED4">
              <w:rPr>
                <w:rFonts w:ascii="Arial" w:hAnsi="Arial" w:cs="Arial"/>
                <w:sz w:val="16"/>
                <w:szCs w:val="16"/>
                <w:lang w:val="es-ES_tradnl"/>
              </w:rPr>
              <w:t>Siller-matula, 2012{Siller-Matula, 2012 18177 /id}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22260716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PEGASUS-PCI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C26ED4">
              <w:rPr>
                <w:rFonts w:ascii="Arial" w:hAnsi="Arial" w:cs="Arial"/>
                <w:color w:val="231F20"/>
                <w:sz w:val="16"/>
                <w:szCs w:val="16"/>
              </w:rPr>
              <w:t>PFA-100</w:t>
            </w: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C26ED4">
              <w:rPr>
                <w:rFonts w:ascii="Arial" w:hAnsi="Arial" w:cs="Arial"/>
                <w:color w:val="231F20"/>
                <w:sz w:val="16"/>
                <w:szCs w:val="16"/>
              </w:rPr>
              <w:t>platelet function analyzer</w:t>
            </w: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The PFA-100 (Dade Behring, Marburg, Germany)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2790" w:type="dxa"/>
            <w:shd w:val="clear" w:color="auto" w:fill="auto"/>
          </w:tcPr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Blood samples from patients</w:t>
            </w: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were obtained from the arterial sheath (6F) in the catheterization</w:t>
            </w: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laboratory directly post-PCI and at least 5 min after</w:t>
            </w: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6ED4">
              <w:rPr>
                <w:rFonts w:ascii="Arial" w:hAnsi="Arial" w:cs="Arial"/>
                <w:sz w:val="16"/>
                <w:szCs w:val="16"/>
              </w:rPr>
              <w:t>intravenous</w:t>
            </w:r>
            <w:proofErr w:type="gramEnd"/>
            <w:r w:rsidRPr="00C26ED4">
              <w:rPr>
                <w:rFonts w:ascii="Arial" w:hAnsi="Arial" w:cs="Arial"/>
                <w:sz w:val="16"/>
                <w:szCs w:val="16"/>
              </w:rPr>
              <w:t xml:space="preserve"> infusion of aspirin.</w:t>
            </w: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3.8% sodium citrate </w:t>
            </w: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performed up to 24 h after blood sampling</w:t>
            </w:r>
          </w:p>
        </w:tc>
        <w:tc>
          <w:tcPr>
            <w:tcW w:w="1980" w:type="dxa"/>
            <w:shd w:val="clear" w:color="auto" w:fill="auto"/>
          </w:tcPr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non-responder</w:t>
            </w: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according to MEA (≥ 48 U)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Clopidogrel responder</w:t>
            </w: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according to MEA</w:t>
            </w: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(&lt; 48 U)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 = 321 (80%)</w:t>
            </w:r>
          </w:p>
        </w:tc>
        <w:tc>
          <w:tcPr>
            <w:tcW w:w="18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ref 16, 28</w:t>
            </w:r>
          </w:p>
        </w:tc>
        <w:tc>
          <w:tcPr>
            <w:tcW w:w="2360" w:type="dxa"/>
            <w:shd w:val="clear" w:color="auto" w:fill="auto"/>
          </w:tcPr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non-responder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 = 81 (20%)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responder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 = 321 (80%)</w:t>
            </w:r>
          </w:p>
        </w:tc>
      </w:tr>
      <w:tr w:rsidR="00E60974" w:rsidRPr="00C26ED4" w:rsidTr="00C26ED4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Chiu 2011{Chiu, 2011 18180 /id} 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21925055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Taiwan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PFA-100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platelet function analyzer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The PFA-100 (Dade Behring, Marburg, Germany)</w:t>
            </w:r>
          </w:p>
        </w:tc>
        <w:tc>
          <w:tcPr>
            <w:tcW w:w="151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Collagen and ADP</w:t>
            </w:r>
          </w:p>
        </w:tc>
        <w:tc>
          <w:tcPr>
            <w:tcW w:w="27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Blood samples prior to cardiac catheterization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3.8% sodium citrate 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NR; clopidogrel came first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0.08 days (2 hours)</w:t>
            </w:r>
          </w:p>
        </w:tc>
        <w:tc>
          <w:tcPr>
            <w:tcW w:w="198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CADP-CT&lt;95 s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 xml:space="preserve">CADP-CT≥95 s </w:t>
            </w:r>
          </w:p>
        </w:tc>
        <w:tc>
          <w:tcPr>
            <w:tcW w:w="189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Based on ROC curve (to predict primary endpoint [MACE])</w:t>
            </w:r>
          </w:p>
        </w:tc>
        <w:tc>
          <w:tcPr>
            <w:tcW w:w="2360" w:type="dxa"/>
            <w:shd w:val="clear" w:color="auto" w:fill="auto"/>
          </w:tcPr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CADP-CT&lt;95 s = 29 (27%)</w:t>
            </w: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C26ED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26ED4">
              <w:rPr>
                <w:rFonts w:ascii="Arial" w:hAnsi="Arial" w:cs="Arial"/>
                <w:sz w:val="16"/>
                <w:szCs w:val="16"/>
              </w:rPr>
              <w:t>CADP-CT≥95 s = 105 (73%)</w:t>
            </w:r>
          </w:p>
        </w:tc>
      </w:tr>
    </w:tbl>
    <w:p w:rsidR="00E60974" w:rsidRPr="0069565C" w:rsidRDefault="00E60974" w:rsidP="00C26ED4">
      <w:pPr>
        <w:pStyle w:val="TableNote"/>
      </w:pPr>
      <w:r w:rsidRPr="0069565C">
        <w:t>ADP=</w:t>
      </w:r>
      <w:r w:rsidRPr="0069565C">
        <w:rPr>
          <w:rFonts w:eastAsia="GillSans--Identity-H"/>
        </w:rPr>
        <w:t xml:space="preserve"> adenosine 5'-diphosphate; Ag=</w:t>
      </w:r>
      <w:r w:rsidRPr="0069565C">
        <w:t xml:space="preserve"> aggregation; PGE1=prostaglandin; ROC=receiver operating characteristic; AUC=area under the curve; IPA= inhibition of platelet aggregation; LTA= light transmission aggregometry; MEA= multiple electrode platelet aggregometry; PFA= platelet function analysis; TEG=thromboelastography; sTEG=short thromboelastography; VASP = vasodilator-stimulated phosphoprotein; VASP-FCT=vasodilator-stimulated phosphoprotein flow cytometry; CEPI=collagen-epinephrine ; CADP=collagen-ADP; CT=closure times; HCPR=high on-clopidogrel platelet reactivity; PCI = percutaneous coronary intervention; RPA= residual platelet aggregation; GP= </w:t>
      </w:r>
      <w:r w:rsidRPr="0069565C">
        <w:lastRenderedPageBreak/>
        <w:t>glycoprotein; HRP=high platelet reactivity; NPR=normal on-treatment platelet reactivity; HPPR= high post-treatment platelet reactivity; MPA= maximum platelet aggregation; RPR= residual platelet reactivity; OTPR=on-treatment platelet reactivity; DPAI= degree of platelet aggregation inhibition; PRU=P2Y12 reaction units; CRP=C-reaction protein; PRI=platelet reactivity index; LR=low responder; IQR=interquartile range; AA=</w:t>
      </w:r>
      <w:r w:rsidRPr="0069565C">
        <w:rPr>
          <w:rFonts w:eastAsia="GillSans--Identity-H"/>
        </w:rPr>
        <w:t xml:space="preserve"> arachidonic acid</w:t>
      </w:r>
      <w:r w:rsidRPr="0069565C">
        <w:t>; LD=loading dose; MD=maintain dose; SD=stan</w:t>
      </w:r>
      <w:r w:rsidR="00C26ED4">
        <w:t>dard deviation; NR=not reported</w:t>
      </w:r>
    </w:p>
    <w:p w:rsidR="00E60974" w:rsidRPr="00EE0FBC" w:rsidRDefault="00F2495B" w:rsidP="00F2495B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F2495B">
      <w:footerReference w:type="default" r:id="rId9"/>
      <w:pgSz w:w="15840" w:h="12240" w:orient="landscape"/>
      <w:pgMar w:top="1440" w:right="1440" w:bottom="1440" w:left="1440" w:header="720" w:footer="720" w:gutter="0"/>
      <w:pgNumType w:start="5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0A" w:rsidRDefault="00FB170A" w:rsidP="00FC3BBE">
      <w:r>
        <w:separator/>
      </w:r>
    </w:p>
  </w:endnote>
  <w:endnote w:type="continuationSeparator" w:id="0">
    <w:p w:rsidR="00FB170A" w:rsidRDefault="00FB170A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Sans-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F2495B">
          <w:rPr>
            <w:rFonts w:ascii="Times New Roman" w:hAnsi="Times New Roman"/>
            <w:noProof/>
            <w:sz w:val="24"/>
            <w:szCs w:val="24"/>
          </w:rPr>
          <w:t>553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0A" w:rsidRDefault="00FB170A" w:rsidP="00FC3BBE">
      <w:r>
        <w:separator/>
      </w:r>
    </w:p>
  </w:footnote>
  <w:footnote w:type="continuationSeparator" w:id="0">
    <w:p w:rsidR="00FB170A" w:rsidRDefault="00FB170A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2495B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170A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1E89-0895-4ED5-9DF7-A44BF69A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2013-11-11T07:01:00Z</dcterms:modified>
</cp:coreProperties>
</file>