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910" w:rsidRPr="0069565C" w:rsidRDefault="00615910" w:rsidP="00615910">
      <w:pPr>
        <w:pStyle w:val="TableTitle"/>
      </w:pPr>
      <w:r w:rsidRPr="0069565C">
        <w:t>Appendix Table E79</w:t>
      </w:r>
      <w:r>
        <w:t>.</w:t>
      </w:r>
      <w:r w:rsidRPr="0069565C">
        <w:t xml:space="preserve"> Baseline </w:t>
      </w:r>
      <w:r>
        <w:t>c</w:t>
      </w:r>
      <w:r w:rsidRPr="0069565C">
        <w:t xml:space="preserve">haracteristics of </w:t>
      </w:r>
      <w:r>
        <w:t>p</w:t>
      </w:r>
      <w:r w:rsidRPr="0069565C">
        <w:t xml:space="preserve">atients </w:t>
      </w:r>
      <w:r>
        <w:t>w</w:t>
      </w:r>
      <w:r w:rsidRPr="0069565C">
        <w:t xml:space="preserve">ith </w:t>
      </w:r>
      <w:r>
        <w:t>i</w:t>
      </w:r>
      <w:r w:rsidRPr="0069565C">
        <w:t xml:space="preserve">schemic </w:t>
      </w:r>
      <w:r>
        <w:t>h</w:t>
      </w:r>
      <w:r w:rsidRPr="0069565C">
        <w:t xml:space="preserve">eart </w:t>
      </w:r>
      <w:r>
        <w:t>d</w:t>
      </w:r>
      <w:r w:rsidRPr="0069565C">
        <w:t xml:space="preserve">isease in </w:t>
      </w:r>
      <w:r>
        <w:t>s</w:t>
      </w:r>
      <w:r w:rsidRPr="0069565C">
        <w:t xml:space="preserve">tudies </w:t>
      </w:r>
      <w:r>
        <w:t>a</w:t>
      </w:r>
      <w:r w:rsidRPr="0069565C">
        <w:t xml:space="preserve">ssessing the </w:t>
      </w:r>
      <w:r>
        <w:t>p</w:t>
      </w:r>
      <w:r w:rsidRPr="0069565C">
        <w:t xml:space="preserve">redictive </w:t>
      </w:r>
      <w:r>
        <w:t>a</w:t>
      </w:r>
      <w:r w:rsidRPr="0069565C">
        <w:t>bility of TEG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976"/>
        <w:gridCol w:w="911"/>
        <w:gridCol w:w="2038"/>
        <w:gridCol w:w="1525"/>
        <w:gridCol w:w="1328"/>
        <w:gridCol w:w="1397"/>
        <w:gridCol w:w="1239"/>
        <w:gridCol w:w="1632"/>
        <w:gridCol w:w="1942"/>
      </w:tblGrid>
      <w:tr w:rsidR="00615910" w:rsidRPr="0003666F" w:rsidTr="007B0DD7">
        <w:trPr>
          <w:cantSplit/>
          <w:tblHeader/>
        </w:trPr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099C">
              <w:rPr>
                <w:rFonts w:ascii="Arial" w:hAnsi="Arial" w:cs="Arial"/>
                <w:b/>
                <w:sz w:val="18"/>
                <w:szCs w:val="18"/>
              </w:rPr>
              <w:t>Author, year [ref]</w:t>
            </w:r>
          </w:p>
          <w:p w:rsidR="00615910" w:rsidRPr="00F1099C" w:rsidRDefault="00615910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099C">
              <w:rPr>
                <w:rFonts w:ascii="Arial" w:hAnsi="Arial" w:cs="Arial"/>
                <w:b/>
                <w:sz w:val="18"/>
                <w:szCs w:val="18"/>
              </w:rPr>
              <w:t>UID</w:t>
            </w:r>
          </w:p>
          <w:p w:rsidR="00615910" w:rsidRPr="00F1099C" w:rsidRDefault="00615910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099C">
              <w:rPr>
                <w:rFonts w:ascii="Arial" w:hAnsi="Arial" w:cs="Arial"/>
                <w:b/>
                <w:sz w:val="18"/>
                <w:szCs w:val="18"/>
              </w:rPr>
              <w:t>Country</w:t>
            </w:r>
          </w:p>
          <w:p w:rsidR="00615910" w:rsidRPr="00F1099C" w:rsidRDefault="00615910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099C">
              <w:rPr>
                <w:rFonts w:ascii="Arial" w:hAnsi="Arial" w:cs="Arial"/>
                <w:b/>
                <w:sz w:val="18"/>
                <w:szCs w:val="18"/>
              </w:rPr>
              <w:t>Study Name</w:t>
            </w:r>
          </w:p>
        </w:tc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099C">
              <w:rPr>
                <w:rFonts w:ascii="Arial" w:hAnsi="Arial" w:cs="Arial"/>
                <w:b/>
                <w:sz w:val="18"/>
                <w:szCs w:val="18"/>
              </w:rPr>
              <w:t xml:space="preserve">Total N Enrolled </w:t>
            </w:r>
          </w:p>
          <w:p w:rsidR="00615910" w:rsidRPr="00F1099C" w:rsidRDefault="00615910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5910" w:rsidRPr="00F1099C" w:rsidRDefault="00615910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099C">
              <w:rPr>
                <w:rFonts w:ascii="Arial" w:hAnsi="Arial" w:cs="Arial"/>
                <w:b/>
                <w:sz w:val="18"/>
                <w:szCs w:val="18"/>
              </w:rPr>
              <w:t>Race (% by group)</w:t>
            </w:r>
          </w:p>
          <w:p w:rsidR="00615910" w:rsidRPr="00F1099C" w:rsidRDefault="00615910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099C">
              <w:rPr>
                <w:rFonts w:ascii="Arial" w:hAnsi="Arial" w:cs="Arial"/>
                <w:b/>
                <w:sz w:val="18"/>
                <w:szCs w:val="18"/>
              </w:rPr>
              <w:t>Male (%)</w:t>
            </w:r>
          </w:p>
          <w:p w:rsidR="00615910" w:rsidRPr="00F1099C" w:rsidRDefault="00615910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099C">
              <w:rPr>
                <w:rFonts w:ascii="Arial" w:hAnsi="Arial" w:cs="Arial"/>
                <w:b/>
                <w:sz w:val="18"/>
                <w:szCs w:val="18"/>
              </w:rPr>
              <w:t>Age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099C">
              <w:rPr>
                <w:rFonts w:ascii="Arial" w:hAnsi="Arial" w:cs="Arial"/>
                <w:b/>
                <w:sz w:val="18"/>
                <w:szCs w:val="18"/>
              </w:rPr>
              <w:t>Previous CAD (%)</w:t>
            </w:r>
          </w:p>
          <w:p w:rsidR="00615910" w:rsidRPr="00F1099C" w:rsidRDefault="00615910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099C">
              <w:rPr>
                <w:rFonts w:ascii="Arial" w:hAnsi="Arial" w:cs="Arial"/>
                <w:b/>
                <w:sz w:val="18"/>
                <w:szCs w:val="18"/>
              </w:rPr>
              <w:t>Previous heart failure(%)</w:t>
            </w:r>
          </w:p>
          <w:p w:rsidR="00615910" w:rsidRPr="00F1099C" w:rsidRDefault="00615910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099C">
              <w:rPr>
                <w:rFonts w:ascii="Arial" w:hAnsi="Arial" w:cs="Arial"/>
                <w:b/>
                <w:sz w:val="18"/>
                <w:szCs w:val="18"/>
              </w:rPr>
              <w:t>Previous TIA/stroke(%)</w:t>
            </w:r>
          </w:p>
          <w:p w:rsidR="00615910" w:rsidRPr="00F1099C" w:rsidRDefault="00615910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099C">
              <w:rPr>
                <w:rFonts w:ascii="Arial" w:hAnsi="Arial" w:cs="Arial"/>
                <w:b/>
                <w:sz w:val="18"/>
                <w:szCs w:val="18"/>
              </w:rPr>
              <w:t>History of PCI or CABG(%):</w:t>
            </w:r>
          </w:p>
          <w:p w:rsidR="00615910" w:rsidRPr="00F1099C" w:rsidRDefault="00615910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099C">
              <w:rPr>
                <w:rFonts w:ascii="Arial" w:hAnsi="Arial" w:cs="Arial"/>
                <w:b/>
                <w:sz w:val="18"/>
                <w:szCs w:val="18"/>
              </w:rPr>
              <w:t>Stable angina(%)</w:t>
            </w:r>
          </w:p>
          <w:p w:rsidR="00615910" w:rsidRPr="00F1099C" w:rsidRDefault="00615910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099C">
              <w:rPr>
                <w:rFonts w:ascii="Arial" w:hAnsi="Arial" w:cs="Arial"/>
                <w:b/>
                <w:sz w:val="18"/>
                <w:szCs w:val="18"/>
              </w:rPr>
              <w:t>Unstable angina(%)</w:t>
            </w:r>
          </w:p>
          <w:p w:rsidR="00615910" w:rsidRPr="00F1099C" w:rsidRDefault="00615910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099C">
              <w:rPr>
                <w:rFonts w:ascii="Arial" w:hAnsi="Arial" w:cs="Arial"/>
                <w:b/>
                <w:sz w:val="18"/>
                <w:szCs w:val="18"/>
              </w:rPr>
              <w:t>Previous PAD(%)</w:t>
            </w:r>
          </w:p>
          <w:p w:rsidR="00615910" w:rsidRPr="00F1099C" w:rsidRDefault="00615910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099C">
              <w:rPr>
                <w:rFonts w:ascii="Arial" w:hAnsi="Arial" w:cs="Arial"/>
                <w:b/>
                <w:sz w:val="18"/>
                <w:szCs w:val="18"/>
              </w:rPr>
              <w:t>History of MI(%)</w:t>
            </w:r>
          </w:p>
          <w:p w:rsidR="00615910" w:rsidRPr="00F1099C" w:rsidRDefault="00615910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099C">
              <w:rPr>
                <w:rFonts w:ascii="Arial" w:hAnsi="Arial" w:cs="Arial"/>
                <w:b/>
                <w:sz w:val="18"/>
                <w:szCs w:val="18"/>
              </w:rPr>
              <w:t>STEMI/non-STEMI(%)</w:t>
            </w:r>
          </w:p>
        </w:tc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099C">
              <w:rPr>
                <w:rFonts w:ascii="Arial" w:hAnsi="Arial" w:cs="Arial"/>
                <w:b/>
                <w:sz w:val="18"/>
                <w:szCs w:val="18"/>
              </w:rPr>
              <w:t>Dyslipidemia (%)</w:t>
            </w:r>
          </w:p>
          <w:p w:rsidR="00615910" w:rsidRPr="00F1099C" w:rsidRDefault="00615910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099C">
              <w:rPr>
                <w:rFonts w:ascii="Arial" w:hAnsi="Arial" w:cs="Arial"/>
                <w:b/>
                <w:sz w:val="18"/>
                <w:szCs w:val="18"/>
              </w:rPr>
              <w:t>Smokers (%)</w:t>
            </w:r>
          </w:p>
          <w:p w:rsidR="00615910" w:rsidRPr="00F1099C" w:rsidRDefault="00615910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099C">
              <w:rPr>
                <w:rFonts w:ascii="Arial" w:hAnsi="Arial" w:cs="Arial"/>
                <w:b/>
                <w:sz w:val="18"/>
                <w:szCs w:val="18"/>
              </w:rPr>
              <w:t xml:space="preserve">BP(mmHg diastolic/systolic </w:t>
            </w:r>
          </w:p>
          <w:p w:rsidR="00615910" w:rsidRPr="00F1099C" w:rsidRDefault="00615910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099C">
              <w:rPr>
                <w:rFonts w:ascii="Arial" w:hAnsi="Arial" w:cs="Arial"/>
                <w:b/>
                <w:sz w:val="18"/>
                <w:szCs w:val="18"/>
              </w:rPr>
              <w:t>HTN (%)</w:t>
            </w:r>
          </w:p>
          <w:p w:rsidR="00615910" w:rsidRPr="00F1099C" w:rsidRDefault="00615910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099C">
              <w:rPr>
                <w:rFonts w:ascii="Arial" w:hAnsi="Arial" w:cs="Arial"/>
                <w:b/>
                <w:sz w:val="18"/>
                <w:szCs w:val="18"/>
              </w:rPr>
              <w:t>Diabetes (%)</w:t>
            </w:r>
          </w:p>
          <w:p w:rsidR="00615910" w:rsidRPr="00F1099C" w:rsidRDefault="00615910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099C">
              <w:rPr>
                <w:rFonts w:ascii="Arial" w:hAnsi="Arial" w:cs="Arial"/>
                <w:b/>
                <w:sz w:val="18"/>
                <w:szCs w:val="18"/>
              </w:rPr>
              <w:t>Vitamin K antagonist(%)</w:t>
            </w:r>
          </w:p>
          <w:p w:rsidR="00615910" w:rsidRPr="00F1099C" w:rsidRDefault="00615910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099C">
              <w:rPr>
                <w:rFonts w:ascii="Arial" w:hAnsi="Arial" w:cs="Arial"/>
                <w:b/>
                <w:sz w:val="18"/>
                <w:szCs w:val="18"/>
              </w:rPr>
              <w:t>Clopidogrel(%)</w:t>
            </w:r>
          </w:p>
          <w:p w:rsidR="00615910" w:rsidRPr="00F1099C" w:rsidRDefault="00615910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099C">
              <w:rPr>
                <w:rFonts w:ascii="Arial" w:hAnsi="Arial" w:cs="Arial"/>
                <w:b/>
                <w:sz w:val="18"/>
                <w:szCs w:val="18"/>
              </w:rPr>
              <w:t>Aspirin(%)</w:t>
            </w:r>
          </w:p>
          <w:p w:rsidR="00615910" w:rsidRPr="00F1099C" w:rsidRDefault="00615910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099C">
              <w:rPr>
                <w:rFonts w:ascii="Arial" w:hAnsi="Arial" w:cs="Arial"/>
                <w:b/>
                <w:sz w:val="18"/>
                <w:szCs w:val="18"/>
              </w:rPr>
              <w:t>PPI(%)</w:t>
            </w:r>
          </w:p>
          <w:p w:rsidR="00615910" w:rsidRPr="00F1099C" w:rsidRDefault="00615910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099C">
              <w:rPr>
                <w:rFonts w:ascii="Arial" w:hAnsi="Arial" w:cs="Arial"/>
                <w:b/>
                <w:sz w:val="18"/>
                <w:szCs w:val="18"/>
              </w:rPr>
              <w:t>Stent implantation(%)</w:t>
            </w:r>
          </w:p>
          <w:p w:rsidR="00615910" w:rsidRPr="00F1099C" w:rsidRDefault="00615910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099C">
              <w:rPr>
                <w:rFonts w:ascii="Arial" w:hAnsi="Arial" w:cs="Arial"/>
                <w:b/>
                <w:sz w:val="18"/>
                <w:szCs w:val="18"/>
              </w:rPr>
              <w:t>Type of stent(%)</w:t>
            </w:r>
          </w:p>
          <w:p w:rsidR="00615910" w:rsidRPr="00F1099C" w:rsidRDefault="00615910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099C">
              <w:rPr>
                <w:rFonts w:ascii="Arial" w:hAnsi="Arial" w:cs="Arial"/>
                <w:b/>
                <w:sz w:val="18"/>
                <w:szCs w:val="18"/>
              </w:rPr>
              <w:t xml:space="preserve">Multi-or single vessel(%) </w:t>
            </w:r>
          </w:p>
          <w:p w:rsidR="00615910" w:rsidRPr="00F1099C" w:rsidRDefault="00615910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099C">
              <w:rPr>
                <w:rFonts w:ascii="Arial" w:hAnsi="Arial" w:cs="Arial"/>
                <w:b/>
                <w:sz w:val="18"/>
                <w:szCs w:val="18"/>
              </w:rPr>
              <w:t>Current indication for clopidogrel treatment</w:t>
            </w:r>
          </w:p>
        </w:tc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099C">
              <w:rPr>
                <w:rFonts w:ascii="Arial" w:hAnsi="Arial" w:cs="Arial"/>
                <w:b/>
                <w:sz w:val="18"/>
                <w:szCs w:val="18"/>
              </w:rPr>
              <w:t>Current antiplatelet regimen</w:t>
            </w:r>
          </w:p>
          <w:p w:rsidR="00615910" w:rsidRPr="00F1099C" w:rsidRDefault="00615910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099C">
              <w:rPr>
                <w:rFonts w:ascii="Arial" w:hAnsi="Arial" w:cs="Arial"/>
                <w:b/>
                <w:sz w:val="18"/>
                <w:szCs w:val="18"/>
              </w:rPr>
              <w:t>Co-medication</w:t>
            </w:r>
          </w:p>
        </w:tc>
      </w:tr>
      <w:tr w:rsidR="00615910" w:rsidRPr="0003666F" w:rsidTr="007B0DD7">
        <w:trPr>
          <w:cantSplit/>
        </w:trPr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1099C">
              <w:rPr>
                <w:rFonts w:ascii="Arial" w:hAnsi="Arial" w:cs="Arial"/>
                <w:sz w:val="18"/>
                <w:szCs w:val="18"/>
                <w:lang w:val="es-ES_tradnl"/>
              </w:rPr>
              <w:t>Bliden, 2006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1099C">
              <w:rPr>
                <w:rFonts w:ascii="Arial" w:hAnsi="Arial" w:cs="Arial"/>
                <w:sz w:val="18"/>
                <w:szCs w:val="18"/>
                <w:lang w:val="es-ES_tradnl"/>
              </w:rPr>
              <w:t>17291930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1099C">
              <w:rPr>
                <w:rFonts w:ascii="Arial" w:hAnsi="Arial" w:cs="Arial"/>
                <w:sz w:val="18"/>
                <w:szCs w:val="18"/>
                <w:lang w:val="es-ES_tradnl"/>
              </w:rPr>
              <w:t>USA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1099C">
              <w:rPr>
                <w:rFonts w:ascii="Arial" w:hAnsi="Arial" w:cs="Arial"/>
                <w:sz w:val="18"/>
                <w:szCs w:val="18"/>
                <w:lang w:val="es-ES_tradnl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Caucasian male 60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 xml:space="preserve">African-American male 12 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66±11</w:t>
            </w:r>
          </w:p>
        </w:tc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CABG 31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13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40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83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56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HTN 74; systolic 145±22; diastolic 76±16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DES 75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BMS 24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Non-emergent coronary stenting</w:t>
            </w:r>
          </w:p>
        </w:tc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Clopidogrel therapy (75 mg qd) for ≥1 month before undergoing non-emergent coronary stenting were enrolled after giving informed consent. A clopidogrel loading dose was not administered. All patients had received at least 81 mg aspirin for 7 days before the procedure.</w:t>
            </w:r>
          </w:p>
        </w:tc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Eptifibatide was administered at the discretion of the treating physician with the ESPRIT study protocol as a double bolus (180 ug/kg) followed by an infusion (2 ug/kg/min) for 18 to 24 h after procedure. Unfractionated heparin was administered according to the ESPRIT dosing regimen (60 U/kg) as a bolus to all patients in the catheterization laboratory immediately before stenting.</w:t>
            </w:r>
          </w:p>
        </w:tc>
      </w:tr>
      <w:tr w:rsidR="00615910" w:rsidRPr="0003666F" w:rsidTr="007B0DD7">
        <w:trPr>
          <w:cantSplit/>
        </w:trPr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Cotton, 2010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20406238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UK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49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67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63±11</w:t>
            </w:r>
          </w:p>
        </w:tc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CABG 6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29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hyper 59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Ex-smoker 29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current 31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HTN 61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94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one vessel 45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two vessel 10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three vessel 0</w:t>
            </w:r>
          </w:p>
        </w:tc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ACS</w:t>
            </w:r>
          </w:p>
        </w:tc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at least 300 mg clopidogrel loading dose if &gt;12 prior to angiography followed by 75 mg daily as maintenance, or 600 mg loading if &lt;12 h prior to angiography with 75 mg daily maintenance</w:t>
            </w:r>
          </w:p>
        </w:tc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615910" w:rsidRPr="0003666F" w:rsidTr="007B0DD7">
        <w:trPr>
          <w:cantSplit/>
        </w:trPr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lastRenderedPageBreak/>
              <w:t>Kwak, 2010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211266640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Korea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OPCABG</w:t>
            </w:r>
          </w:p>
        </w:tc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99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72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65±7</w:t>
            </w:r>
          </w:p>
        </w:tc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65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patients scheduled for CABG</w:t>
            </w:r>
          </w:p>
        </w:tc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Dual antiplatelet therapy consisting of aspirin 100 mg and clopidogrel 75 mg was started 24 h after the surgery as adequate.</w:t>
            </w:r>
          </w:p>
        </w:tc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615910" w:rsidRPr="0003666F" w:rsidTr="007B0DD7">
        <w:trPr>
          <w:cantSplit/>
        </w:trPr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Gurbel, 2010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20691842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USA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PREPARE POST-STENTING</w:t>
            </w:r>
          </w:p>
        </w:tc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225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White male: 54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African American male: 13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66±12</w:t>
            </w:r>
          </w:p>
        </w:tc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1099C">
              <w:rPr>
                <w:rFonts w:ascii="Arial" w:hAnsi="Arial" w:cs="Arial"/>
                <w:sz w:val="18"/>
                <w:szCs w:val="18"/>
                <w:lang w:val="es-ES_tradnl"/>
              </w:rPr>
              <w:t>NR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1099C">
              <w:rPr>
                <w:rFonts w:ascii="Arial" w:hAnsi="Arial" w:cs="Arial"/>
                <w:sz w:val="18"/>
                <w:szCs w:val="18"/>
                <w:lang w:val="es-ES_tradnl"/>
              </w:rPr>
              <w:t>NR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1099C">
              <w:rPr>
                <w:rFonts w:ascii="Arial" w:hAnsi="Arial" w:cs="Arial"/>
                <w:sz w:val="18"/>
                <w:szCs w:val="18"/>
                <w:lang w:val="es-ES_tradnl"/>
              </w:rPr>
              <w:t>CVA 12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1099C">
              <w:rPr>
                <w:rFonts w:ascii="Arial" w:hAnsi="Arial" w:cs="Arial"/>
                <w:sz w:val="18"/>
                <w:szCs w:val="18"/>
                <w:lang w:val="es-ES_tradnl"/>
              </w:rPr>
              <w:t>PTCA 35;CABG 24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33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hyper 80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55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 xml:space="preserve">Systolic BP, mm Hg: 144 ± 25 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Diastolic BP, mm Hg 75 ± 17;HTN: 74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Patients undergoing percutaneous coronary intervention (PCI) fro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F1099C">
              <w:rPr>
                <w:rFonts w:ascii="Arial" w:hAnsi="Arial" w:cs="Arial"/>
                <w:sz w:val="18"/>
                <w:szCs w:val="18"/>
              </w:rPr>
              <w:t xml:space="preserve"> ACS</w:t>
            </w:r>
          </w:p>
        </w:tc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pStyle w:val="TableFigureTitleEPC"/>
              <w:rPr>
                <w:b w:val="0"/>
                <w:szCs w:val="18"/>
              </w:rPr>
            </w:pPr>
            <w:r w:rsidRPr="00F1099C">
              <w:rPr>
                <w:b w:val="0"/>
                <w:szCs w:val="18"/>
              </w:rPr>
              <w:t>Clopidogrel: 300 (n=73) to 600 mg (n=75) LD + 75 mg/d MD; no LD for pts on clopidogrel (n=77)</w:t>
            </w:r>
          </w:p>
          <w:p w:rsidR="00615910" w:rsidRPr="00F1099C" w:rsidRDefault="00615910" w:rsidP="007B0DD7">
            <w:pPr>
              <w:pStyle w:val="TableFigureTitleEPC"/>
              <w:rPr>
                <w:b w:val="0"/>
                <w:szCs w:val="18"/>
              </w:rPr>
            </w:pPr>
            <w:r w:rsidRPr="00F1099C">
              <w:rPr>
                <w:b w:val="0"/>
                <w:szCs w:val="18"/>
              </w:rPr>
              <w:t>Aspirin: 325 mg LD + 81-325 mg MD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pStyle w:val="TableFigureTitleEPC"/>
              <w:rPr>
                <w:b w:val="0"/>
                <w:szCs w:val="18"/>
              </w:rPr>
            </w:pPr>
            <w:r w:rsidRPr="00F1099C">
              <w:rPr>
                <w:b w:val="0"/>
                <w:szCs w:val="18"/>
              </w:rPr>
              <w:t>Eptifibatide (n=123)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Unfractionated heparin to achieve a clotting time of 200 to 250 seconds (for those given GPIIb/IIIa inhibitor) and &gt;300 seconds (all other patients)</w:t>
            </w:r>
          </w:p>
        </w:tc>
      </w:tr>
      <w:tr w:rsidR="00615910" w:rsidRPr="0003666F" w:rsidTr="007B0DD7">
        <w:trPr>
          <w:cantSplit/>
        </w:trPr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Gurbel, 2005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16286165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USA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PREPARE POST-STENTING</w:t>
            </w:r>
          </w:p>
        </w:tc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182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White: 115 (59%)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108 (56)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65±12</w:t>
            </w:r>
          </w:p>
        </w:tc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1099C">
              <w:rPr>
                <w:rFonts w:ascii="Arial" w:hAnsi="Arial" w:cs="Arial"/>
                <w:sz w:val="18"/>
                <w:szCs w:val="18"/>
                <w:lang w:val="es-ES_tradnl"/>
              </w:rPr>
              <w:t>NR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1099C">
              <w:rPr>
                <w:rFonts w:ascii="Arial" w:hAnsi="Arial" w:cs="Arial"/>
                <w:sz w:val="18"/>
                <w:szCs w:val="18"/>
                <w:lang w:val="es-ES_tradnl"/>
              </w:rPr>
              <w:t>NR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1099C">
              <w:rPr>
                <w:rFonts w:ascii="Arial" w:hAnsi="Arial" w:cs="Arial"/>
                <w:sz w:val="18"/>
                <w:szCs w:val="18"/>
                <w:lang w:val="es-ES_tradnl"/>
              </w:rPr>
              <w:t>NR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1099C">
              <w:rPr>
                <w:rFonts w:ascii="Arial" w:hAnsi="Arial" w:cs="Arial"/>
                <w:sz w:val="18"/>
                <w:szCs w:val="18"/>
                <w:lang w:val="es-ES_tradnl"/>
              </w:rPr>
              <w:t>PTCA:39.6/CABG:24.5%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36.9%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Hyperlipidemia: 66.7%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43.8%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HTN: 66.2%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42.2%</w:t>
            </w:r>
          </w:p>
        </w:tc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96%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DES: 69.8%/BMS: 28.1%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PCI for ACS</w:t>
            </w:r>
          </w:p>
        </w:tc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Clopidogrel (loading dose of 300 or 600 mg or continuation of pre-enrollment maintenance dose; maintenance dose 75 mg daily) + aspirin (81- to 325-mg daily dose for seven days before the procedure, and 325 mg on day of procedure and daily thereafter)</w:t>
            </w:r>
          </w:p>
        </w:tc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5910" w:rsidRPr="0003666F" w:rsidTr="007B0DD7">
        <w:trPr>
          <w:cantSplit/>
        </w:trPr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lastRenderedPageBreak/>
              <w:t>Tang, 2012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China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90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48.9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1.1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PCI 10/CABG 0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36.7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35.6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11.1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16.7/8.9</w:t>
            </w:r>
          </w:p>
        </w:tc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hyper 22.2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63.3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47.8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21.1</w:t>
            </w:r>
          </w:p>
        </w:tc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PCI</w:t>
            </w:r>
          </w:p>
        </w:tc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LD 300 mg of clopidogrel and aspirin;</w:t>
            </w:r>
          </w:p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 xml:space="preserve">MD 100 mg aspirin plus 75 mg clopidogrel or LD 200 mg aspirin and 150 mg clopidogrel </w:t>
            </w:r>
          </w:p>
        </w:tc>
        <w:tc>
          <w:tcPr>
            <w:tcW w:w="0" w:type="auto"/>
            <w:shd w:val="clear" w:color="auto" w:fill="auto"/>
          </w:tcPr>
          <w:p w:rsidR="00615910" w:rsidRPr="00F1099C" w:rsidRDefault="00615910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F1099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</w:tbl>
    <w:p w:rsidR="00615910" w:rsidRPr="0069565C" w:rsidRDefault="00615910" w:rsidP="00615910">
      <w:pPr>
        <w:pStyle w:val="TableNote"/>
      </w:pPr>
      <w:r>
        <w:t>*</w:t>
      </w:r>
      <w:r w:rsidRPr="00BE76E9">
        <w:t xml:space="preserve"> Mean (standard deviation), unless otherwise stated</w:t>
      </w:r>
      <w:r>
        <w:br/>
      </w:r>
      <w:r w:rsidRPr="00BE76E9">
        <w:rPr>
          <w:b/>
        </w:rPr>
        <w:t>Abbreviations:</w:t>
      </w:r>
      <w:r>
        <w:t xml:space="preserve"> </w:t>
      </w:r>
      <w:r w:rsidRPr="0069565C">
        <w:t>ACS = acute coronary syndrome; AMI = acute myocardial infarction; BMS=Bare metal stents; BP = blood pressure; CABG = coronary artery bypass grafting; PTCA=percutaneous transluminal coronary angioplasty; CVA=cerebrovascular accident; CVD=cerebrovascular disease; CAD = coronary artery disease; DES=Drug eluting stent; BMS=bare metal stent; HTN = hypertension, IHD: Ischemic heart disease; MI = myocardial infarction; NSTEMI = non-ST-elevation MI; LVEF=left ventricle ejection fraction; PAD = peripheral artery disease; PCI = percutaneous coronary intervention; STEMI = ST-elevation MI; TIA = transient ischemic attack; PPI=proton pump inhibitor; UFH= Unfractionated Heparin; BP=blood pressure; hyper=hypercholesterolemia;</w:t>
      </w:r>
      <w:r>
        <w:t xml:space="preserve"> </w:t>
      </w:r>
      <w:r w:rsidRPr="0069565C">
        <w:t>LD=loading dose; MD= maintain dose; ASA=aspirin; GP IIb/IIIa inhibitors =Glycoprotein IIb/IIIa inhibitors</w:t>
      </w:r>
      <w:r>
        <w:br/>
      </w:r>
      <w:r w:rsidRPr="0069565C">
        <w:t>Add headings for additional subgroups. Data are means unless otherwise indicated; estimated is noted if reported as an estimate.</w:t>
      </w:r>
    </w:p>
    <w:p w:rsidR="00E60974" w:rsidRPr="00615910" w:rsidRDefault="00E60974" w:rsidP="00615910">
      <w:bookmarkStart w:id="0" w:name="_GoBack"/>
      <w:bookmarkEnd w:id="0"/>
    </w:p>
    <w:sectPr w:rsidR="00E60974" w:rsidRPr="00615910" w:rsidSect="00EC2AEB">
      <w:footerReference w:type="default" r:id="rId8"/>
      <w:pgSz w:w="15840" w:h="12240" w:orient="landscape"/>
      <w:pgMar w:top="1440" w:right="1440" w:bottom="1440" w:left="1440" w:header="720" w:footer="720" w:gutter="0"/>
      <w:pgNumType w:start="51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241" w:rsidRDefault="00370241" w:rsidP="00FC3BBE">
      <w:r>
        <w:separator/>
      </w:r>
    </w:p>
  </w:endnote>
  <w:endnote w:type="continuationSeparator" w:id="0">
    <w:p w:rsidR="00370241" w:rsidRDefault="00370241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615910">
          <w:rPr>
            <w:rFonts w:ascii="Times New Roman" w:hAnsi="Times New Roman"/>
            <w:noProof/>
            <w:sz w:val="24"/>
            <w:szCs w:val="24"/>
          </w:rPr>
          <w:t>517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241" w:rsidRDefault="00370241" w:rsidP="00FC3BBE">
      <w:r>
        <w:separator/>
      </w:r>
    </w:p>
  </w:footnote>
  <w:footnote w:type="continuationSeparator" w:id="0">
    <w:p w:rsidR="00370241" w:rsidRDefault="00370241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0241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13D1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15910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2AEB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6AF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FF9D4CDA-3E70-47C6-990E-0FE5744A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0A255-9A0B-46E2-B62D-F2FA0096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Lathrop, Stacy (NIH/NLM/NCBI) [C]</cp:lastModifiedBy>
  <cp:revision>6</cp:revision>
  <cp:lastPrinted>2013-09-19T14:49:00Z</cp:lastPrinted>
  <dcterms:created xsi:type="dcterms:W3CDTF">2013-09-27T03:34:00Z</dcterms:created>
  <dcterms:modified xsi:type="dcterms:W3CDTF">2014-08-21T17:29:00Z</dcterms:modified>
</cp:coreProperties>
</file>