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8F3" w:rsidRPr="0069565C" w:rsidRDefault="000578F3" w:rsidP="000578F3">
      <w:pPr>
        <w:pStyle w:val="TableTitle"/>
      </w:pPr>
      <w:r w:rsidRPr="0069565C">
        <w:t>Appendix Table E6</w:t>
      </w:r>
      <w:r>
        <w:t>.</w:t>
      </w:r>
      <w:r w:rsidRPr="0069565C">
        <w:t xml:space="preserve"> Baseline </w:t>
      </w:r>
      <w:r>
        <w:t>c</w:t>
      </w:r>
      <w:r w:rsidRPr="0069565C">
        <w:t xml:space="preserve">haracteristics of </w:t>
      </w:r>
      <w:r>
        <w:t>p</w:t>
      </w:r>
      <w:r w:rsidRPr="0069565C">
        <w:t xml:space="preserve">atients with </w:t>
      </w:r>
      <w:r>
        <w:t>p</w:t>
      </w:r>
      <w:r w:rsidRPr="0069565C">
        <w:t xml:space="preserve">eripheral </w:t>
      </w:r>
      <w:r>
        <w:t>a</w:t>
      </w:r>
      <w:r w:rsidRPr="0069565C">
        <w:t xml:space="preserve">rterial </w:t>
      </w:r>
      <w:r>
        <w:t>d</w:t>
      </w:r>
      <w:r w:rsidRPr="0069565C">
        <w:t xml:space="preserve">isease in </w:t>
      </w:r>
      <w:r>
        <w:t>s</w:t>
      </w:r>
      <w:r w:rsidRPr="0069565C">
        <w:t xml:space="preserve">tudies </w:t>
      </w:r>
      <w:r>
        <w:t>a</w:t>
      </w:r>
      <w:r w:rsidRPr="0069565C">
        <w:t xml:space="preserve">ssessing the </w:t>
      </w:r>
      <w:r>
        <w:t>p</w:t>
      </w:r>
      <w:r w:rsidRPr="0069565C">
        <w:t xml:space="preserve">redictive </w:t>
      </w:r>
      <w:r>
        <w:t>a</w:t>
      </w:r>
      <w:r w:rsidRPr="0069565C">
        <w:t>bility of LTA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229"/>
        <w:gridCol w:w="1502"/>
        <w:gridCol w:w="1802"/>
        <w:gridCol w:w="1717"/>
        <w:gridCol w:w="1439"/>
        <w:gridCol w:w="1555"/>
        <w:gridCol w:w="1255"/>
        <w:gridCol w:w="1241"/>
        <w:gridCol w:w="1278"/>
      </w:tblGrid>
      <w:tr w:rsidR="000578F3" w:rsidRPr="00705231" w:rsidTr="007B0DD7">
        <w:trPr>
          <w:cantSplit/>
          <w:tblHeader/>
        </w:trPr>
        <w:tc>
          <w:tcPr>
            <w:tcW w:w="1769" w:type="dxa"/>
            <w:shd w:val="clear" w:color="auto" w:fill="auto"/>
          </w:tcPr>
          <w:p w:rsidR="000578F3" w:rsidRPr="00DE503C" w:rsidRDefault="000578F3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503C">
              <w:rPr>
                <w:rFonts w:ascii="Arial" w:hAnsi="Arial" w:cs="Arial"/>
                <w:b/>
                <w:sz w:val="18"/>
                <w:szCs w:val="18"/>
              </w:rPr>
              <w:t>Author, year [ref]</w:t>
            </w:r>
          </w:p>
          <w:p w:rsidR="000578F3" w:rsidRPr="00DE503C" w:rsidRDefault="000578F3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503C">
              <w:rPr>
                <w:rFonts w:ascii="Arial" w:hAnsi="Arial" w:cs="Arial"/>
                <w:b/>
                <w:sz w:val="18"/>
                <w:szCs w:val="18"/>
              </w:rPr>
              <w:t>UID</w:t>
            </w:r>
          </w:p>
          <w:p w:rsidR="000578F3" w:rsidRPr="00DE503C" w:rsidRDefault="000578F3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503C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  <w:p w:rsidR="000578F3" w:rsidRPr="00DE503C" w:rsidRDefault="000578F3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503C">
              <w:rPr>
                <w:rFonts w:ascii="Arial" w:hAnsi="Arial" w:cs="Arial"/>
                <w:b/>
                <w:sz w:val="18"/>
                <w:szCs w:val="18"/>
              </w:rPr>
              <w:t>Study Name</w:t>
            </w:r>
          </w:p>
        </w:tc>
        <w:tc>
          <w:tcPr>
            <w:tcW w:w="1955" w:type="dxa"/>
            <w:shd w:val="clear" w:color="auto" w:fill="auto"/>
          </w:tcPr>
          <w:p w:rsidR="000578F3" w:rsidRPr="00DE503C" w:rsidRDefault="000578F3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503C">
              <w:rPr>
                <w:rFonts w:ascii="Arial" w:hAnsi="Arial" w:cs="Arial"/>
                <w:b/>
                <w:sz w:val="18"/>
                <w:szCs w:val="18"/>
              </w:rPr>
              <w:t>Demographics</w:t>
            </w:r>
          </w:p>
          <w:p w:rsidR="000578F3" w:rsidRPr="00DE503C" w:rsidRDefault="000578F3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503C">
              <w:rPr>
                <w:rFonts w:ascii="Arial" w:hAnsi="Arial" w:cs="Arial"/>
                <w:b/>
                <w:sz w:val="18"/>
                <w:szCs w:val="18"/>
              </w:rPr>
              <w:t xml:space="preserve">Total N Enrolled </w:t>
            </w:r>
          </w:p>
          <w:p w:rsidR="000578F3" w:rsidRPr="00DE503C" w:rsidRDefault="000578F3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503C">
              <w:rPr>
                <w:rFonts w:ascii="Arial" w:hAnsi="Arial" w:cs="Arial"/>
                <w:b/>
                <w:sz w:val="18"/>
                <w:szCs w:val="18"/>
              </w:rPr>
              <w:t>Race (% by group)</w:t>
            </w:r>
          </w:p>
          <w:p w:rsidR="000578F3" w:rsidRPr="00DE503C" w:rsidRDefault="000578F3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503C">
              <w:rPr>
                <w:rFonts w:ascii="Arial" w:hAnsi="Arial" w:cs="Arial"/>
                <w:b/>
                <w:sz w:val="18"/>
                <w:szCs w:val="18"/>
              </w:rPr>
              <w:t>Male (%)</w:t>
            </w:r>
          </w:p>
          <w:p w:rsidR="000578F3" w:rsidRPr="00DE503C" w:rsidRDefault="000578F3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503C">
              <w:rPr>
                <w:rFonts w:ascii="Arial" w:hAnsi="Arial" w:cs="Arial"/>
                <w:b/>
                <w:sz w:val="18"/>
                <w:szCs w:val="18"/>
              </w:rPr>
              <w:t>Age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2730" w:type="dxa"/>
            <w:shd w:val="clear" w:color="auto" w:fill="auto"/>
          </w:tcPr>
          <w:p w:rsidR="000578F3" w:rsidRPr="00DE503C" w:rsidRDefault="000578F3" w:rsidP="007B0DD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E503C">
              <w:rPr>
                <w:rFonts w:ascii="Arial" w:hAnsi="Arial" w:cs="Arial"/>
                <w:b/>
                <w:sz w:val="18"/>
                <w:szCs w:val="18"/>
              </w:rPr>
              <w:t xml:space="preserve">Vascular disease </w:t>
            </w:r>
            <w:r w:rsidRPr="00DE503C">
              <w:rPr>
                <w:rFonts w:ascii="Arial" w:hAnsi="Arial" w:cs="Arial"/>
                <w:b/>
                <w:color w:val="000000"/>
                <w:sz w:val="18"/>
                <w:szCs w:val="18"/>
              </w:rPr>
              <w:t>history</w:t>
            </w:r>
          </w:p>
          <w:p w:rsidR="000578F3" w:rsidRPr="00DE503C" w:rsidRDefault="000578F3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503C">
              <w:rPr>
                <w:rFonts w:ascii="Arial" w:hAnsi="Arial" w:cs="Arial"/>
                <w:b/>
                <w:sz w:val="18"/>
                <w:szCs w:val="18"/>
              </w:rPr>
              <w:t>Previous CAD (%)</w:t>
            </w:r>
          </w:p>
          <w:p w:rsidR="000578F3" w:rsidRPr="00DE503C" w:rsidRDefault="000578F3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503C">
              <w:rPr>
                <w:rFonts w:ascii="Arial" w:hAnsi="Arial" w:cs="Arial"/>
                <w:b/>
                <w:sz w:val="18"/>
                <w:szCs w:val="18"/>
              </w:rPr>
              <w:t>Previous heart failure(%)</w:t>
            </w:r>
          </w:p>
          <w:p w:rsidR="000578F3" w:rsidRPr="00DE503C" w:rsidRDefault="000578F3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503C">
              <w:rPr>
                <w:rFonts w:ascii="Arial" w:hAnsi="Arial" w:cs="Arial"/>
                <w:b/>
                <w:sz w:val="18"/>
                <w:szCs w:val="18"/>
              </w:rPr>
              <w:t>Previous TIA/stroke(%)</w:t>
            </w:r>
          </w:p>
          <w:p w:rsidR="000578F3" w:rsidRPr="00DE503C" w:rsidRDefault="000578F3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503C">
              <w:rPr>
                <w:rFonts w:ascii="Arial" w:hAnsi="Arial" w:cs="Arial"/>
                <w:b/>
                <w:sz w:val="18"/>
                <w:szCs w:val="18"/>
              </w:rPr>
              <w:t>History of PCI or CABG(%):</w:t>
            </w:r>
          </w:p>
          <w:p w:rsidR="000578F3" w:rsidRPr="00DE503C" w:rsidRDefault="000578F3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503C">
              <w:rPr>
                <w:rFonts w:ascii="Arial" w:hAnsi="Arial" w:cs="Arial"/>
                <w:b/>
                <w:sz w:val="18"/>
                <w:szCs w:val="18"/>
              </w:rPr>
              <w:t>Stable angina(%)</w:t>
            </w:r>
          </w:p>
          <w:p w:rsidR="000578F3" w:rsidRPr="00DE503C" w:rsidRDefault="000578F3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503C">
              <w:rPr>
                <w:rFonts w:ascii="Arial" w:hAnsi="Arial" w:cs="Arial"/>
                <w:b/>
                <w:sz w:val="18"/>
                <w:szCs w:val="18"/>
              </w:rPr>
              <w:t>Unstable angina(%)</w:t>
            </w:r>
          </w:p>
          <w:p w:rsidR="000578F3" w:rsidRPr="00DE503C" w:rsidRDefault="000578F3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503C">
              <w:rPr>
                <w:rFonts w:ascii="Arial" w:hAnsi="Arial" w:cs="Arial"/>
                <w:b/>
                <w:sz w:val="18"/>
                <w:szCs w:val="18"/>
              </w:rPr>
              <w:t>Previous PAD(%)</w:t>
            </w:r>
          </w:p>
          <w:p w:rsidR="000578F3" w:rsidRPr="00DE503C" w:rsidRDefault="000578F3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503C">
              <w:rPr>
                <w:rFonts w:ascii="Arial" w:hAnsi="Arial" w:cs="Arial"/>
                <w:b/>
                <w:sz w:val="18"/>
                <w:szCs w:val="18"/>
              </w:rPr>
              <w:t>History of MI(%)</w:t>
            </w:r>
          </w:p>
          <w:p w:rsidR="000578F3" w:rsidRPr="00DE503C" w:rsidRDefault="000578F3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503C">
              <w:rPr>
                <w:rFonts w:ascii="Arial" w:hAnsi="Arial" w:cs="Arial"/>
                <w:b/>
                <w:sz w:val="18"/>
                <w:szCs w:val="18"/>
              </w:rPr>
              <w:t>STEMI/non-STEMI(%)</w:t>
            </w:r>
          </w:p>
        </w:tc>
        <w:tc>
          <w:tcPr>
            <w:tcW w:w="2207" w:type="dxa"/>
            <w:shd w:val="clear" w:color="auto" w:fill="auto"/>
          </w:tcPr>
          <w:p w:rsidR="000578F3" w:rsidRPr="00DE503C" w:rsidRDefault="000578F3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503C">
              <w:rPr>
                <w:rFonts w:ascii="Arial" w:hAnsi="Arial" w:cs="Arial"/>
                <w:b/>
                <w:sz w:val="18"/>
                <w:szCs w:val="18"/>
              </w:rPr>
              <w:t>Vascular risk factors</w:t>
            </w:r>
          </w:p>
          <w:p w:rsidR="000578F3" w:rsidRPr="00DE503C" w:rsidRDefault="000578F3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503C">
              <w:rPr>
                <w:rFonts w:ascii="Arial" w:hAnsi="Arial" w:cs="Arial"/>
                <w:b/>
                <w:sz w:val="18"/>
                <w:szCs w:val="18"/>
              </w:rPr>
              <w:t>Dyslipidemia (%)</w:t>
            </w:r>
          </w:p>
          <w:p w:rsidR="000578F3" w:rsidRPr="00DE503C" w:rsidRDefault="000578F3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503C">
              <w:rPr>
                <w:rFonts w:ascii="Arial" w:hAnsi="Arial" w:cs="Arial"/>
                <w:b/>
                <w:sz w:val="18"/>
                <w:szCs w:val="18"/>
              </w:rPr>
              <w:t>Smokers (%)</w:t>
            </w:r>
          </w:p>
          <w:p w:rsidR="000578F3" w:rsidRPr="00DE503C" w:rsidRDefault="000578F3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503C">
              <w:rPr>
                <w:rFonts w:ascii="Arial" w:hAnsi="Arial" w:cs="Arial"/>
                <w:b/>
                <w:sz w:val="18"/>
                <w:szCs w:val="18"/>
              </w:rPr>
              <w:t xml:space="preserve">BP(mmHg diastolic/systolic </w:t>
            </w:r>
          </w:p>
          <w:p w:rsidR="000578F3" w:rsidRPr="00DE503C" w:rsidRDefault="000578F3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503C">
              <w:rPr>
                <w:rFonts w:ascii="Arial" w:hAnsi="Arial" w:cs="Arial"/>
                <w:b/>
                <w:sz w:val="18"/>
                <w:szCs w:val="18"/>
              </w:rPr>
              <w:t>HTN (%)</w:t>
            </w:r>
          </w:p>
          <w:p w:rsidR="000578F3" w:rsidRPr="00DE503C" w:rsidRDefault="000578F3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503C">
              <w:rPr>
                <w:rFonts w:ascii="Arial" w:hAnsi="Arial" w:cs="Arial"/>
                <w:b/>
                <w:sz w:val="18"/>
                <w:szCs w:val="18"/>
              </w:rPr>
              <w:t>Diabetes (%)</w:t>
            </w:r>
          </w:p>
          <w:p w:rsidR="000578F3" w:rsidRPr="00DE503C" w:rsidRDefault="000578F3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</w:tcPr>
          <w:p w:rsidR="000578F3" w:rsidRPr="00DE503C" w:rsidRDefault="000578F3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503C">
              <w:rPr>
                <w:rFonts w:ascii="Arial" w:hAnsi="Arial" w:cs="Arial"/>
                <w:b/>
                <w:sz w:val="18"/>
                <w:szCs w:val="18"/>
              </w:rPr>
              <w:t>Prior medications</w:t>
            </w:r>
          </w:p>
          <w:p w:rsidR="000578F3" w:rsidRPr="00DE503C" w:rsidRDefault="000578F3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503C">
              <w:rPr>
                <w:rFonts w:ascii="Arial" w:hAnsi="Arial" w:cs="Arial"/>
                <w:b/>
                <w:sz w:val="18"/>
                <w:szCs w:val="18"/>
              </w:rPr>
              <w:t>(pre-study)</w:t>
            </w:r>
          </w:p>
          <w:p w:rsidR="000578F3" w:rsidRPr="00DE503C" w:rsidRDefault="000578F3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503C">
              <w:rPr>
                <w:rFonts w:ascii="Arial" w:hAnsi="Arial" w:cs="Arial"/>
                <w:b/>
                <w:sz w:val="18"/>
                <w:szCs w:val="18"/>
              </w:rPr>
              <w:t>Vitamin K antagonist(%)</w:t>
            </w:r>
          </w:p>
          <w:p w:rsidR="000578F3" w:rsidRPr="00DE503C" w:rsidRDefault="000578F3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503C">
              <w:rPr>
                <w:rFonts w:ascii="Arial" w:hAnsi="Arial" w:cs="Arial"/>
                <w:b/>
                <w:sz w:val="18"/>
                <w:szCs w:val="18"/>
              </w:rPr>
              <w:t>Clopidogrel(%)</w:t>
            </w:r>
          </w:p>
          <w:p w:rsidR="000578F3" w:rsidRPr="00DE503C" w:rsidRDefault="000578F3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503C">
              <w:rPr>
                <w:rFonts w:ascii="Arial" w:hAnsi="Arial" w:cs="Arial"/>
                <w:b/>
                <w:sz w:val="18"/>
                <w:szCs w:val="18"/>
              </w:rPr>
              <w:t>Aspirin(%)</w:t>
            </w:r>
          </w:p>
          <w:p w:rsidR="000578F3" w:rsidRPr="00DE503C" w:rsidRDefault="000578F3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503C">
              <w:rPr>
                <w:rFonts w:ascii="Arial" w:hAnsi="Arial" w:cs="Arial"/>
                <w:b/>
                <w:sz w:val="18"/>
                <w:szCs w:val="18"/>
              </w:rPr>
              <w:t>PPI(%)</w:t>
            </w:r>
          </w:p>
          <w:p w:rsidR="000578F3" w:rsidRPr="00DE503C" w:rsidRDefault="000578F3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auto"/>
          </w:tcPr>
          <w:p w:rsidR="000578F3" w:rsidRPr="00DE503C" w:rsidRDefault="000578F3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503C">
              <w:rPr>
                <w:rFonts w:ascii="Arial" w:hAnsi="Arial" w:cs="Arial"/>
                <w:b/>
                <w:sz w:val="18"/>
                <w:szCs w:val="18"/>
              </w:rPr>
              <w:t>Procedural data</w:t>
            </w:r>
          </w:p>
          <w:p w:rsidR="000578F3" w:rsidRPr="00DE503C" w:rsidRDefault="000578F3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503C">
              <w:rPr>
                <w:rFonts w:ascii="Arial" w:hAnsi="Arial" w:cs="Arial"/>
                <w:b/>
                <w:sz w:val="18"/>
                <w:szCs w:val="18"/>
              </w:rPr>
              <w:t>Stent implantation(%)</w:t>
            </w:r>
          </w:p>
          <w:p w:rsidR="000578F3" w:rsidRPr="00DE503C" w:rsidRDefault="000578F3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503C">
              <w:rPr>
                <w:rFonts w:ascii="Arial" w:hAnsi="Arial" w:cs="Arial"/>
                <w:b/>
                <w:sz w:val="18"/>
                <w:szCs w:val="18"/>
              </w:rPr>
              <w:t>Type of stent(%)</w:t>
            </w:r>
          </w:p>
          <w:p w:rsidR="000578F3" w:rsidRPr="00DE503C" w:rsidRDefault="000578F3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503C">
              <w:rPr>
                <w:rFonts w:ascii="Arial" w:hAnsi="Arial" w:cs="Arial"/>
                <w:b/>
                <w:sz w:val="18"/>
                <w:szCs w:val="18"/>
              </w:rPr>
              <w:t xml:space="preserve">Multi-or single vessel(%) </w:t>
            </w:r>
          </w:p>
          <w:p w:rsidR="000578F3" w:rsidRPr="00DE503C" w:rsidRDefault="000578F3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</w:tcPr>
          <w:p w:rsidR="000578F3" w:rsidRPr="00DE503C" w:rsidRDefault="000578F3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503C">
              <w:rPr>
                <w:rFonts w:ascii="Arial" w:hAnsi="Arial" w:cs="Arial"/>
                <w:b/>
                <w:sz w:val="18"/>
                <w:szCs w:val="18"/>
              </w:rPr>
              <w:t>Current indication for clopidogrel treatment</w:t>
            </w:r>
          </w:p>
        </w:tc>
        <w:tc>
          <w:tcPr>
            <w:tcW w:w="1789" w:type="dxa"/>
            <w:shd w:val="clear" w:color="auto" w:fill="auto"/>
          </w:tcPr>
          <w:p w:rsidR="000578F3" w:rsidRPr="00DE503C" w:rsidRDefault="000578F3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503C">
              <w:rPr>
                <w:rFonts w:ascii="Arial" w:hAnsi="Arial" w:cs="Arial"/>
                <w:b/>
                <w:sz w:val="18"/>
                <w:szCs w:val="18"/>
              </w:rPr>
              <w:t>Current antiplatelet regimen</w:t>
            </w:r>
          </w:p>
          <w:p w:rsidR="000578F3" w:rsidRPr="00DE503C" w:rsidRDefault="000578F3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</w:tcPr>
          <w:p w:rsidR="000578F3" w:rsidRPr="00DE503C" w:rsidRDefault="000578F3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503C">
              <w:rPr>
                <w:rFonts w:ascii="Arial" w:hAnsi="Arial" w:cs="Arial"/>
                <w:b/>
                <w:sz w:val="18"/>
                <w:szCs w:val="18"/>
              </w:rPr>
              <w:t>Co-medications</w:t>
            </w:r>
          </w:p>
        </w:tc>
      </w:tr>
      <w:tr w:rsidR="000578F3" w:rsidRPr="00705231" w:rsidTr="007B0DD7">
        <w:trPr>
          <w:cantSplit/>
        </w:trPr>
        <w:tc>
          <w:tcPr>
            <w:tcW w:w="1769" w:type="dxa"/>
            <w:shd w:val="clear" w:color="auto" w:fill="auto"/>
          </w:tcPr>
          <w:p w:rsidR="000578F3" w:rsidRPr="00DE503C" w:rsidRDefault="000578F3" w:rsidP="007B0DD7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E503C">
              <w:rPr>
                <w:rFonts w:ascii="Arial" w:hAnsi="Arial" w:cs="Arial"/>
                <w:sz w:val="18"/>
                <w:szCs w:val="18"/>
              </w:rPr>
              <w:t>Linnemann, 2010</w:t>
            </w:r>
          </w:p>
          <w:p w:rsidR="000578F3" w:rsidRPr="00DE503C" w:rsidRDefault="000578F3" w:rsidP="007B0DD7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E503C">
              <w:rPr>
                <w:rFonts w:ascii="Arial" w:hAnsi="Arial" w:cs="Arial"/>
                <w:sz w:val="18"/>
                <w:szCs w:val="18"/>
              </w:rPr>
              <w:t>20153859</w:t>
            </w:r>
          </w:p>
          <w:p w:rsidR="000578F3" w:rsidRPr="00DE503C" w:rsidRDefault="000578F3" w:rsidP="007B0DD7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E503C">
              <w:rPr>
                <w:rFonts w:ascii="Arial" w:hAnsi="Arial" w:cs="Arial"/>
                <w:sz w:val="18"/>
                <w:szCs w:val="18"/>
              </w:rPr>
              <w:t>Germany</w:t>
            </w:r>
          </w:p>
          <w:p w:rsidR="000578F3" w:rsidRPr="00DE503C" w:rsidRDefault="000578F3" w:rsidP="007B0DD7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E503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55" w:type="dxa"/>
            <w:shd w:val="clear" w:color="auto" w:fill="auto"/>
          </w:tcPr>
          <w:p w:rsidR="000578F3" w:rsidRPr="00DE503C" w:rsidRDefault="000578F3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DE503C">
              <w:rPr>
                <w:rFonts w:ascii="Arial" w:hAnsi="Arial" w:cs="Arial"/>
                <w:sz w:val="18"/>
                <w:szCs w:val="18"/>
              </w:rPr>
              <w:t>54</w:t>
            </w:r>
          </w:p>
          <w:p w:rsidR="000578F3" w:rsidRPr="00DE503C" w:rsidRDefault="000578F3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DE503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578F3" w:rsidRPr="00DE503C" w:rsidRDefault="000578F3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DE503C">
              <w:rPr>
                <w:rFonts w:ascii="Arial" w:hAnsi="Arial" w:cs="Arial"/>
                <w:sz w:val="18"/>
                <w:szCs w:val="18"/>
              </w:rPr>
              <w:t>29 (53.7%)</w:t>
            </w:r>
          </w:p>
          <w:p w:rsidR="000578F3" w:rsidRPr="00DE503C" w:rsidRDefault="000578F3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DE503C">
              <w:rPr>
                <w:rFonts w:ascii="Arial" w:hAnsi="Arial" w:cs="Arial"/>
                <w:sz w:val="18"/>
                <w:szCs w:val="18"/>
              </w:rPr>
              <w:t>Median: 68 (range 53-94)</w:t>
            </w:r>
          </w:p>
        </w:tc>
        <w:tc>
          <w:tcPr>
            <w:tcW w:w="2730" w:type="dxa"/>
            <w:shd w:val="clear" w:color="auto" w:fill="auto"/>
          </w:tcPr>
          <w:p w:rsidR="000578F3" w:rsidRPr="00DE503C" w:rsidRDefault="000578F3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DE503C">
              <w:rPr>
                <w:rFonts w:ascii="Arial" w:hAnsi="Arial" w:cs="Arial"/>
                <w:sz w:val="18"/>
                <w:szCs w:val="18"/>
              </w:rPr>
              <w:t>IHD: 38.9%</w:t>
            </w:r>
          </w:p>
          <w:p w:rsidR="000578F3" w:rsidRPr="00DE503C" w:rsidRDefault="000578F3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DE503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578F3" w:rsidRPr="00DE503C" w:rsidRDefault="000578F3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DE503C">
              <w:rPr>
                <w:rFonts w:ascii="Arial" w:hAnsi="Arial" w:cs="Arial"/>
                <w:sz w:val="18"/>
                <w:szCs w:val="18"/>
              </w:rPr>
              <w:t>CVD:18.5%;prior cerebral infarction: 5.6%</w:t>
            </w:r>
          </w:p>
          <w:p w:rsidR="000578F3" w:rsidRPr="00DE503C" w:rsidRDefault="000578F3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DE503C">
              <w:rPr>
                <w:rFonts w:ascii="Arial" w:hAnsi="Arial" w:cs="Arial"/>
                <w:sz w:val="18"/>
                <w:szCs w:val="18"/>
              </w:rPr>
              <w:t>PCI: 24.1%;CABG: 11.1%</w:t>
            </w:r>
          </w:p>
          <w:p w:rsidR="000578F3" w:rsidRPr="00DE503C" w:rsidRDefault="000578F3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DE503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578F3" w:rsidRPr="00DE503C" w:rsidRDefault="000578F3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DE503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578F3" w:rsidRPr="00DE503C" w:rsidRDefault="000578F3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DE503C">
              <w:rPr>
                <w:rFonts w:ascii="Arial" w:hAnsi="Arial" w:cs="Arial"/>
                <w:sz w:val="18"/>
                <w:szCs w:val="18"/>
              </w:rPr>
              <w:t>100%</w:t>
            </w:r>
          </w:p>
          <w:p w:rsidR="000578F3" w:rsidRPr="00DE503C" w:rsidRDefault="000578F3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DE503C">
              <w:rPr>
                <w:rFonts w:ascii="Arial" w:hAnsi="Arial" w:cs="Arial"/>
                <w:sz w:val="18"/>
                <w:szCs w:val="18"/>
              </w:rPr>
              <w:t>14.8%</w:t>
            </w:r>
          </w:p>
          <w:p w:rsidR="000578F3" w:rsidRPr="00DE503C" w:rsidRDefault="000578F3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DE503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207" w:type="dxa"/>
            <w:shd w:val="clear" w:color="auto" w:fill="auto"/>
          </w:tcPr>
          <w:p w:rsidR="000578F3" w:rsidRPr="00DE503C" w:rsidRDefault="000578F3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DE503C">
              <w:rPr>
                <w:rFonts w:ascii="Arial" w:hAnsi="Arial" w:cs="Arial"/>
                <w:sz w:val="18"/>
                <w:szCs w:val="18"/>
              </w:rPr>
              <w:t>hyperlipidemia: 81.5%</w:t>
            </w:r>
          </w:p>
          <w:p w:rsidR="000578F3" w:rsidRPr="00DE503C" w:rsidRDefault="000578F3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DE503C">
              <w:rPr>
                <w:rFonts w:ascii="Arial" w:hAnsi="Arial" w:cs="Arial"/>
                <w:sz w:val="18"/>
                <w:szCs w:val="18"/>
              </w:rPr>
              <w:t>Current: 24.1%</w:t>
            </w:r>
          </w:p>
          <w:p w:rsidR="000578F3" w:rsidRPr="00DE503C" w:rsidRDefault="000578F3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DE503C">
              <w:rPr>
                <w:rFonts w:ascii="Arial" w:hAnsi="Arial" w:cs="Arial"/>
                <w:sz w:val="18"/>
                <w:szCs w:val="18"/>
              </w:rPr>
              <w:t>HTN: 77.8%</w:t>
            </w:r>
          </w:p>
          <w:p w:rsidR="000578F3" w:rsidRPr="00DE503C" w:rsidRDefault="000578F3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DE503C">
              <w:rPr>
                <w:rFonts w:ascii="Arial" w:hAnsi="Arial" w:cs="Arial"/>
                <w:sz w:val="18"/>
                <w:szCs w:val="18"/>
              </w:rPr>
              <w:t>33.3%</w:t>
            </w:r>
          </w:p>
        </w:tc>
        <w:tc>
          <w:tcPr>
            <w:tcW w:w="1678" w:type="dxa"/>
            <w:shd w:val="clear" w:color="auto" w:fill="auto"/>
          </w:tcPr>
          <w:p w:rsidR="000578F3" w:rsidRPr="00DE503C" w:rsidRDefault="000578F3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DE503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578F3" w:rsidRPr="00DE503C" w:rsidRDefault="000578F3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DE503C">
              <w:rPr>
                <w:rFonts w:ascii="Arial" w:hAnsi="Arial" w:cs="Arial"/>
                <w:sz w:val="18"/>
                <w:szCs w:val="18"/>
              </w:rPr>
              <w:t>100%</w:t>
            </w:r>
          </w:p>
          <w:p w:rsidR="000578F3" w:rsidRPr="00DE503C" w:rsidRDefault="000578F3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DE503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578F3" w:rsidRPr="00DE503C" w:rsidRDefault="000578F3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DE503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01" w:type="dxa"/>
            <w:shd w:val="clear" w:color="auto" w:fill="auto"/>
          </w:tcPr>
          <w:p w:rsidR="000578F3" w:rsidRPr="00DE503C" w:rsidRDefault="000578F3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DE503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578F3" w:rsidRPr="00DE503C" w:rsidRDefault="000578F3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DE503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578F3" w:rsidRPr="00DE503C" w:rsidRDefault="000578F3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DE503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89" w:type="dxa"/>
            <w:shd w:val="clear" w:color="auto" w:fill="auto"/>
          </w:tcPr>
          <w:p w:rsidR="000578F3" w:rsidRPr="00DE503C" w:rsidRDefault="000578F3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DE503C">
              <w:rPr>
                <w:rFonts w:ascii="Arial" w:hAnsi="Arial" w:cs="Arial"/>
                <w:sz w:val="18"/>
                <w:szCs w:val="18"/>
              </w:rPr>
              <w:t>Patients with Peripheral artery occlusive disease on clopidogrel</w:t>
            </w:r>
          </w:p>
        </w:tc>
        <w:tc>
          <w:tcPr>
            <w:tcW w:w="1789" w:type="dxa"/>
            <w:shd w:val="clear" w:color="auto" w:fill="auto"/>
          </w:tcPr>
          <w:p w:rsidR="000578F3" w:rsidRPr="00DE503C" w:rsidRDefault="000578F3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DE503C">
              <w:rPr>
                <w:rFonts w:ascii="Arial" w:hAnsi="Arial" w:cs="Arial"/>
                <w:sz w:val="18"/>
                <w:szCs w:val="18"/>
              </w:rPr>
              <w:t>Clopidogrel 75 mg daily</w:t>
            </w:r>
          </w:p>
        </w:tc>
        <w:tc>
          <w:tcPr>
            <w:tcW w:w="1678" w:type="dxa"/>
            <w:shd w:val="clear" w:color="auto" w:fill="auto"/>
          </w:tcPr>
          <w:p w:rsidR="000578F3" w:rsidRPr="00DE503C" w:rsidRDefault="000578F3" w:rsidP="007B0D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578F3" w:rsidRPr="0069565C" w:rsidRDefault="000578F3" w:rsidP="000578F3">
      <w:pPr>
        <w:pStyle w:val="TableNote"/>
      </w:pPr>
      <w:r>
        <w:t>*</w:t>
      </w:r>
      <w:r w:rsidRPr="00120A00">
        <w:t xml:space="preserve"> Mean (standard deviation), unless otherwise stated.</w:t>
      </w:r>
      <w:r>
        <w:br/>
      </w:r>
      <w:r w:rsidRPr="00120A00">
        <w:rPr>
          <w:b/>
        </w:rPr>
        <w:t>Abbreviations:</w:t>
      </w:r>
      <w:r>
        <w:t xml:space="preserve"> </w:t>
      </w:r>
      <w:r w:rsidRPr="0069565C">
        <w:t>ACS = acute coronary syndrome; AMI = acute myocardial infarction; BMS=Bare metal stents; BP = blood pressure; CABG = coronary artery bypass grafting; PTCA=percutaneous transluminal coronary angioplasty; CVA=cerebrovascular accident; CVD=cerebrovascular disease; CAD = coronary artery disease; DES=Drug eluting stent; BMS=bare metal stent; HTN = hypertension, IHD: Ischemic heart disease; MI = myocardial infarction; NSTEMI = non-ST-elevation MI; LVEF=left ventricle ejection fraction; PAD = peripheral artery disease; PCI = percutaneous coronary intervention; STEMI = ST-elevation MI; TIA = transient ischemic attack; PPI=proton pump inhibitor; UFH= Unfractionated Heparin; BP=blood pressure; hyper=hypercholesterolemia;</w:t>
      </w:r>
      <w:r>
        <w:t xml:space="preserve"> </w:t>
      </w:r>
      <w:r w:rsidRPr="0069565C">
        <w:t>LD=loading dose; MD= maintain dose; ASA=aspirin; GP IIb/IIIa inhibitors =Glycoprotein IIb/IIIa inhibitors;</w:t>
      </w:r>
      <w:r>
        <w:t xml:space="preserve"> </w:t>
      </w:r>
      <w:r w:rsidRPr="0069565C">
        <w:t>ACC/AHA=American College of Cardio</w:t>
      </w:r>
      <w:r>
        <w:t>logy/American Heart Association</w:t>
      </w:r>
    </w:p>
    <w:p w:rsidR="00E60974" w:rsidRPr="000578F3" w:rsidRDefault="00E60974" w:rsidP="000578F3">
      <w:bookmarkStart w:id="0" w:name="_GoBack"/>
      <w:bookmarkEnd w:id="0"/>
    </w:p>
    <w:sectPr w:rsidR="00E60974" w:rsidRPr="000578F3" w:rsidSect="005B7A0D">
      <w:footerReference w:type="default" r:id="rId8"/>
      <w:pgSz w:w="15840" w:h="12240" w:orient="landscape"/>
      <w:pgMar w:top="1800" w:right="1440" w:bottom="180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5F9" w:rsidRDefault="00A245F9" w:rsidP="00FC3BBE">
      <w:r>
        <w:separator/>
      </w:r>
    </w:p>
  </w:endnote>
  <w:endnote w:type="continuationSeparator" w:id="0">
    <w:p w:rsidR="00A245F9" w:rsidRDefault="00A245F9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5B7A0D">
          <w:rPr>
            <w:rFonts w:ascii="Times New Roman" w:hAnsi="Times New Roman"/>
            <w:sz w:val="24"/>
            <w:szCs w:val="24"/>
          </w:rPr>
          <w:t>91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5F9" w:rsidRDefault="00A245F9" w:rsidP="00FC3BBE">
      <w:r>
        <w:separator/>
      </w:r>
    </w:p>
  </w:footnote>
  <w:footnote w:type="continuationSeparator" w:id="0">
    <w:p w:rsidR="00A245F9" w:rsidRDefault="00A245F9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578F3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B7A0D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45F9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0544D145-E3E8-40D4-8306-7005E079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E3871-E543-43DE-97AF-6A4D00B4D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Lathrop, Stacy (NIH/NLM/NCBI) [C]</cp:lastModifiedBy>
  <cp:revision>5</cp:revision>
  <cp:lastPrinted>2013-09-19T14:49:00Z</cp:lastPrinted>
  <dcterms:created xsi:type="dcterms:W3CDTF">2013-09-27T03:34:00Z</dcterms:created>
  <dcterms:modified xsi:type="dcterms:W3CDTF">2014-08-21T17:14:00Z</dcterms:modified>
</cp:coreProperties>
</file>