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E48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Study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f VASP in a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ixed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opulation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244"/>
        <w:gridCol w:w="882"/>
        <w:gridCol w:w="1316"/>
        <w:gridCol w:w="3218"/>
        <w:gridCol w:w="1570"/>
        <w:gridCol w:w="1124"/>
        <w:gridCol w:w="1162"/>
        <w:gridCol w:w="1381"/>
        <w:gridCol w:w="1215"/>
      </w:tblGrid>
      <w:tr w:rsidR="00E60974" w:rsidRPr="0069565C" w:rsidTr="005E1103">
        <w:trPr>
          <w:jc w:val="center"/>
        </w:trPr>
        <w:tc>
          <w:tcPr>
            <w:tcW w:w="1244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Study Name</w:t>
            </w:r>
          </w:p>
        </w:tc>
        <w:tc>
          <w:tcPr>
            <w:tcW w:w="1244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882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1316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3218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570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124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1162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1215" w:type="dxa"/>
          </w:tcPr>
          <w:p w:rsidR="00E60974" w:rsidRPr="0069565C" w:rsidRDefault="00E60974" w:rsidP="005E1103">
            <w:pPr>
              <w:rPr>
                <w:rFonts w:ascii="Arial" w:hAnsi="Arial"/>
                <w:b/>
                <w:sz w:val="16"/>
                <w:szCs w:val="16"/>
              </w:rPr>
            </w:pPr>
            <w:r w:rsidRPr="0069565C">
              <w:rPr>
                <w:rFonts w:ascii="Arial" w:hAnsi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Reny, 2012{Reny, 2012 18240 /id}</w:t>
            </w:r>
          </w:p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22615340</w:t>
            </w:r>
          </w:p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France and Switzerland</w:t>
            </w:r>
          </w:p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ADRIE</w:t>
            </w:r>
          </w:p>
        </w:tc>
        <w:tc>
          <w:tcPr>
            <w:tcW w:w="1244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 xml:space="preserve">prospective Cohort </w:t>
            </w:r>
          </w:p>
        </w:tc>
        <w:tc>
          <w:tcPr>
            <w:tcW w:w="882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yes</w:t>
            </w:r>
          </w:p>
        </w:tc>
        <w:tc>
          <w:tcPr>
            <w:tcW w:w="1316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 xml:space="preserve">Consecutive patients </w:t>
            </w:r>
          </w:p>
        </w:tc>
        <w:tc>
          <w:tcPr>
            <w:tcW w:w="3218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symptomatic documented ischemic</w:t>
            </w:r>
          </w:p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atherothrombotic disease (coronary artery disease, ischemic cerebrovascular</w:t>
            </w:r>
          </w:p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disease, and/or peripheral artery disease)</w:t>
            </w:r>
          </w:p>
        </w:tc>
        <w:tc>
          <w:tcPr>
            <w:tcW w:w="1570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June 2006 - December</w:t>
            </w:r>
          </w:p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2008</w:t>
            </w:r>
          </w:p>
        </w:tc>
        <w:tc>
          <w:tcPr>
            <w:tcW w:w="1124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6 months</w:t>
            </w:r>
          </w:p>
        </w:tc>
        <w:tc>
          <w:tcPr>
            <w:tcW w:w="1162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inpatient, then followup</w:t>
            </w:r>
          </w:p>
        </w:tc>
        <w:tc>
          <w:tcPr>
            <w:tcW w:w="1381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yes (yes)</w:t>
            </w:r>
          </w:p>
        </w:tc>
        <w:tc>
          <w:tcPr>
            <w:tcW w:w="1215" w:type="dxa"/>
          </w:tcPr>
          <w:p w:rsidR="00E60974" w:rsidRPr="0069565C" w:rsidRDefault="00E60974" w:rsidP="005E1103">
            <w:pPr>
              <w:rPr>
                <w:rFonts w:ascii="Arial" w:hAnsi="Arial"/>
                <w:sz w:val="16"/>
                <w:szCs w:val="16"/>
              </w:rPr>
            </w:pPr>
            <w:r w:rsidRPr="0069565C">
              <w:rPr>
                <w:rFonts w:ascii="Arial" w:hAnsi="Arial"/>
                <w:sz w:val="16"/>
                <w:szCs w:val="16"/>
              </w:rPr>
              <w:t>Non-industry only</w:t>
            </w:r>
          </w:p>
        </w:tc>
      </w:tr>
    </w:tbl>
    <w:p w:rsidR="00E60974" w:rsidRPr="0069565C" w:rsidRDefault="00E60974" w:rsidP="005E1103"/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Default="00E60974" w:rsidP="001A4A97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94" w:rsidRDefault="00AE4894" w:rsidP="00FC3BBE">
      <w:r>
        <w:separator/>
      </w:r>
    </w:p>
  </w:endnote>
  <w:endnote w:type="continuationSeparator" w:id="0">
    <w:p w:rsidR="00AE4894" w:rsidRDefault="00AE489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1A4A97">
          <w:rPr>
            <w:rFonts w:ascii="Times New Roman" w:hAnsi="Times New Roman"/>
            <w:sz w:val="24"/>
            <w:szCs w:val="24"/>
          </w:rPr>
          <w:t>392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94" w:rsidRDefault="00AE4894" w:rsidP="00FC3BBE">
      <w:r>
        <w:separator/>
      </w:r>
    </w:p>
  </w:footnote>
  <w:footnote w:type="continuationSeparator" w:id="0">
    <w:p w:rsidR="00AE4894" w:rsidRDefault="00AE489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A4A97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E4894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36AD-8280-446C-BD64-44268555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2013-11-09T12:19:00Z</dcterms:modified>
</cp:coreProperties>
</file>